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9C" w:rsidRDefault="0017593F" w:rsidP="00EB559C">
      <w:pPr>
        <w:pStyle w:val="Heading1"/>
        <w:spacing w:before="240"/>
        <w:rPr>
          <w:rFonts w:cs="Arial"/>
        </w:rPr>
      </w:pPr>
      <w:r>
        <w:rPr>
          <w:rFonts w:cs="Arial"/>
          <w:noProof/>
          <w:lang w:val="en-NZ" w:eastAsia="en-NZ"/>
        </w:rPr>
        <w:pict>
          <v:shapetype id="_x0000_t202" coordsize="21600,21600" o:spt="202" path="m,l,21600r21600,l21600,xe">
            <v:stroke joinstyle="miter"/>
            <v:path gradientshapeok="t" o:connecttype="rect"/>
          </v:shapetype>
          <v:shape id="_x0000_s1033" type="#_x0000_t202" style="position:absolute;margin-left:-55.05pt;margin-top:-65.25pt;width:221.2pt;height:34.55pt;z-index:251669504;mso-width-relative:margin;mso-height-relative:margin" strokecolor="white [3212]">
            <v:textbox>
              <w:txbxContent>
                <w:p w:rsidR="00D33614" w:rsidRPr="00692FF6" w:rsidRDefault="00D33614" w:rsidP="00D33614">
                  <w:pPr>
                    <w:rPr>
                      <w:lang w:val="en-NZ"/>
                    </w:rPr>
                  </w:pPr>
                  <w:r w:rsidRPr="00692FF6">
                    <w:rPr>
                      <w:b/>
                    </w:rPr>
                    <w:t xml:space="preserve">                                                           FOR ADVISORY GROUP USE ONLY                                                                              </w:t>
                  </w:r>
                </w:p>
                <w:p w:rsidR="00D33614" w:rsidRDefault="00D33614" w:rsidP="00D33614"/>
              </w:txbxContent>
            </v:textbox>
          </v:shape>
        </w:pict>
      </w:r>
      <w:r w:rsidR="00EB559C">
        <w:rPr>
          <w:noProof/>
          <w:lang w:val="en-NZ" w:eastAsia="en-NZ"/>
        </w:rPr>
        <w:drawing>
          <wp:anchor distT="0" distB="0" distL="114300" distR="114300" simplePos="0" relativeHeight="251667456" behindDoc="1" locked="0" layoutInCell="1" allowOverlap="1">
            <wp:simplePos x="0" y="0"/>
            <wp:positionH relativeFrom="page">
              <wp:posOffset>5477774</wp:posOffset>
            </wp:positionH>
            <wp:positionV relativeFrom="page">
              <wp:posOffset>-112143</wp:posOffset>
            </wp:positionV>
            <wp:extent cx="2188569" cy="1647645"/>
            <wp:effectExtent l="0" t="0" r="254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7288" b="82629"/>
                    <a:stretch>
                      <a:fillRect/>
                    </a:stretch>
                  </pic:blipFill>
                  <pic:spPr bwMode="auto">
                    <a:xfrm>
                      <a:off x="0" y="0"/>
                      <a:ext cx="2188210" cy="1643380"/>
                    </a:xfrm>
                    <a:prstGeom prst="rect">
                      <a:avLst/>
                    </a:prstGeom>
                    <a:noFill/>
                  </pic:spPr>
                </pic:pic>
              </a:graphicData>
            </a:graphic>
          </wp:anchor>
        </w:drawing>
      </w:r>
      <w:r w:rsidR="00EB559C">
        <w:rPr>
          <w:noProof/>
          <w:lang w:val="en-NZ" w:eastAsia="en-NZ"/>
        </w:rPr>
        <w:drawing>
          <wp:anchor distT="0" distB="0" distL="114300" distR="114300" simplePos="0" relativeHeight="251668480" behindDoc="0" locked="0" layoutInCell="1" allowOverlap="1">
            <wp:simplePos x="0" y="0"/>
            <wp:positionH relativeFrom="column">
              <wp:posOffset>-269935</wp:posOffset>
            </wp:positionH>
            <wp:positionV relativeFrom="paragraph">
              <wp:posOffset>-560717</wp:posOffset>
            </wp:positionV>
            <wp:extent cx="2655139" cy="672860"/>
            <wp:effectExtent l="19050" t="0" r="0" b="0"/>
            <wp:wrapSquare wrapText="bothSides"/>
            <wp:docPr id="6" name="Picture 0" descr="LOGO Ministry of Edu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Ministry of Education.JPG"/>
                    <pic:cNvPicPr>
                      <a:picLocks noChangeAspect="1" noChangeArrowheads="1"/>
                    </pic:cNvPicPr>
                  </pic:nvPicPr>
                  <pic:blipFill>
                    <a:blip r:embed="rId9" cstate="print"/>
                    <a:srcRect/>
                    <a:stretch>
                      <a:fillRect/>
                    </a:stretch>
                  </pic:blipFill>
                  <pic:spPr bwMode="auto">
                    <a:xfrm>
                      <a:off x="0" y="0"/>
                      <a:ext cx="2655570" cy="672465"/>
                    </a:xfrm>
                    <a:prstGeom prst="rect">
                      <a:avLst/>
                    </a:prstGeom>
                    <a:noFill/>
                    <a:ln w="9525">
                      <a:noFill/>
                      <a:miter lim="800000"/>
                      <a:headEnd/>
                      <a:tailEnd/>
                    </a:ln>
                  </pic:spPr>
                </pic:pic>
              </a:graphicData>
            </a:graphic>
          </wp:anchor>
        </w:drawing>
      </w:r>
    </w:p>
    <w:p w:rsidR="00EB559C" w:rsidRDefault="00EB559C" w:rsidP="00EB559C">
      <w:pPr>
        <w:pStyle w:val="Heading1"/>
        <w:spacing w:before="240"/>
        <w:rPr>
          <w:rFonts w:cs="Arial"/>
        </w:rPr>
      </w:pPr>
    </w:p>
    <w:p w:rsidR="00EB559C" w:rsidRDefault="00EB559C" w:rsidP="00EB559C">
      <w:pPr>
        <w:pStyle w:val="Heading1"/>
        <w:spacing w:before="240"/>
        <w:rPr>
          <w:rFonts w:cs="Arial"/>
        </w:rPr>
      </w:pPr>
    </w:p>
    <w:p w:rsidR="00EB559C" w:rsidRDefault="00EB559C" w:rsidP="00EB559C">
      <w:pPr>
        <w:pStyle w:val="Heading1"/>
        <w:spacing w:before="240"/>
        <w:rPr>
          <w:rFonts w:cs="Arial"/>
        </w:rPr>
      </w:pPr>
    </w:p>
    <w:p w:rsidR="00D33614" w:rsidRPr="00D33614" w:rsidRDefault="0017593F" w:rsidP="00D33614">
      <w:r>
        <w:rPr>
          <w:noProof/>
          <w:lang w:val="en-NZ" w:eastAsia="en-NZ"/>
        </w:rPr>
        <w:pict>
          <v:shape id="_x0000_s1034" type="#_x0000_t202" style="position:absolute;margin-left:-7.5pt;margin-top:2.8pt;width:265.5pt;height:22.55pt;z-index:251670528;mso-width-relative:margin;mso-height-relative:margin" strokecolor="white [3212]">
            <v:textbox>
              <w:txbxContent>
                <w:p w:rsidR="00D33614" w:rsidRPr="00692FF6" w:rsidRDefault="00D33614" w:rsidP="00D33614">
                  <w:pPr>
                    <w:rPr>
                      <w:lang w:val="en-NZ"/>
                    </w:rPr>
                  </w:pPr>
                  <w:r>
                    <w:rPr>
                      <w:b/>
                    </w:rPr>
                    <w:t xml:space="preserve">  DRAFT – NOT GOVERNMENT POLICY</w:t>
                  </w:r>
                </w:p>
                <w:p w:rsidR="00D33614" w:rsidRDefault="00D33614" w:rsidP="00D33614"/>
              </w:txbxContent>
            </v:textbox>
          </v:shape>
        </w:pict>
      </w:r>
    </w:p>
    <w:p w:rsidR="00EB559C" w:rsidRPr="00C85B25" w:rsidRDefault="00EB559C" w:rsidP="00EB559C">
      <w:pPr>
        <w:pStyle w:val="Heading1"/>
        <w:spacing w:before="240"/>
        <w:jc w:val="right"/>
        <w:rPr>
          <w:rFonts w:ascii="Arial" w:hAnsi="Arial" w:cs="Arial"/>
          <w:color w:val="000000" w:themeColor="text1"/>
        </w:rPr>
      </w:pPr>
      <w:r>
        <w:rPr>
          <w:rFonts w:ascii="Century Gothic" w:hAnsi="Century Gothic" w:cs="Arial"/>
        </w:rPr>
        <w:br/>
      </w:r>
      <w:r w:rsidRPr="00C85B25">
        <w:rPr>
          <w:rFonts w:ascii="Arial" w:hAnsi="Arial" w:cs="Arial"/>
          <w:color w:val="000000" w:themeColor="text1"/>
        </w:rPr>
        <w:t xml:space="preserve">Review of Funding Systems </w:t>
      </w:r>
    </w:p>
    <w:p w:rsidR="00EB559C" w:rsidRPr="00C85B25" w:rsidRDefault="00EB559C" w:rsidP="00EB559C">
      <w:pPr>
        <w:pStyle w:val="Heading1"/>
        <w:spacing w:before="240"/>
        <w:jc w:val="right"/>
        <w:rPr>
          <w:rFonts w:ascii="Arial" w:hAnsi="Arial" w:cs="Arial"/>
          <w:color w:val="000000" w:themeColor="text1"/>
        </w:rPr>
      </w:pPr>
      <w:r w:rsidRPr="00C85B25">
        <w:rPr>
          <w:rFonts w:ascii="Arial" w:hAnsi="Arial" w:cs="Arial"/>
          <w:color w:val="000000" w:themeColor="text1"/>
        </w:rPr>
        <w:t xml:space="preserve">Background paper </w:t>
      </w:r>
      <w:r w:rsidR="00D30EE2">
        <w:rPr>
          <w:rFonts w:ascii="Arial" w:hAnsi="Arial" w:cs="Arial"/>
          <w:color w:val="000000" w:themeColor="text1"/>
        </w:rPr>
        <w:t>for Advisory Group</w:t>
      </w:r>
    </w:p>
    <w:p w:rsidR="00EB559C" w:rsidRPr="00C85B25" w:rsidRDefault="00EB559C" w:rsidP="00EB559C">
      <w:pPr>
        <w:rPr>
          <w:rFonts w:ascii="Arial" w:hAnsi="Arial" w:cs="Arial"/>
          <w:color w:val="000000" w:themeColor="text1"/>
        </w:rPr>
      </w:pPr>
    </w:p>
    <w:p w:rsidR="00EB559C" w:rsidRPr="00C85B25" w:rsidRDefault="00EB559C" w:rsidP="00EB559C">
      <w:pPr>
        <w:rPr>
          <w:rFonts w:ascii="Arial" w:hAnsi="Arial" w:cs="Arial"/>
          <w:color w:val="000000" w:themeColor="text1"/>
        </w:rPr>
      </w:pPr>
    </w:p>
    <w:p w:rsidR="00EB559C" w:rsidRPr="00C85B25" w:rsidRDefault="00EB559C" w:rsidP="00EB559C">
      <w:pPr>
        <w:pStyle w:val="BodyText"/>
        <w:jc w:val="right"/>
        <w:rPr>
          <w:rFonts w:cs="Arial"/>
          <w:b/>
          <w:color w:val="000000" w:themeColor="text1"/>
          <w:sz w:val="40"/>
          <w:szCs w:val="40"/>
        </w:rPr>
      </w:pPr>
      <w:r w:rsidRPr="00C85B25">
        <w:rPr>
          <w:rFonts w:cs="Arial"/>
          <w:b/>
          <w:color w:val="000000" w:themeColor="text1"/>
          <w:sz w:val="40"/>
          <w:szCs w:val="40"/>
        </w:rPr>
        <w:t>Per-child funding across schooling</w:t>
      </w:r>
    </w:p>
    <w:p w:rsidR="00EB559C" w:rsidRPr="00C85B25" w:rsidRDefault="00EB559C" w:rsidP="00EB559C">
      <w:pPr>
        <w:pStyle w:val="BodyText"/>
        <w:jc w:val="right"/>
        <w:rPr>
          <w:rFonts w:cs="Arial"/>
          <w:b/>
          <w:color w:val="0070C0"/>
          <w:sz w:val="40"/>
          <w:szCs w:val="40"/>
        </w:rPr>
      </w:pPr>
    </w:p>
    <w:p w:rsidR="00EB559C" w:rsidRPr="00C85B25" w:rsidRDefault="00EB559C" w:rsidP="00EB559C">
      <w:pPr>
        <w:pStyle w:val="BodyText"/>
        <w:jc w:val="right"/>
        <w:rPr>
          <w:rFonts w:cs="Arial"/>
          <w:b/>
          <w:color w:val="0070C0"/>
          <w:sz w:val="40"/>
          <w:szCs w:val="40"/>
        </w:rPr>
      </w:pPr>
    </w:p>
    <w:p w:rsidR="00EB559C" w:rsidRPr="00C85B25" w:rsidRDefault="00EB559C" w:rsidP="00EB559C">
      <w:pPr>
        <w:pStyle w:val="BodyText"/>
        <w:jc w:val="right"/>
        <w:rPr>
          <w:rFonts w:cs="Arial"/>
          <w:b/>
          <w:color w:val="0070C0"/>
          <w:sz w:val="40"/>
          <w:szCs w:val="40"/>
        </w:rPr>
      </w:pPr>
    </w:p>
    <w:p w:rsidR="00EB559C" w:rsidRPr="00C85B25" w:rsidRDefault="00EB559C" w:rsidP="00EB559C">
      <w:pPr>
        <w:pStyle w:val="BodyText"/>
        <w:jc w:val="right"/>
        <w:rPr>
          <w:rFonts w:cs="Arial"/>
          <w:b/>
          <w:color w:val="0070C0"/>
          <w:sz w:val="40"/>
          <w:szCs w:val="40"/>
        </w:rPr>
      </w:pPr>
    </w:p>
    <w:p w:rsidR="00EB559C" w:rsidRPr="00C85B25" w:rsidRDefault="00EB559C" w:rsidP="00EB559C">
      <w:pPr>
        <w:pStyle w:val="BodyText"/>
        <w:jc w:val="right"/>
        <w:rPr>
          <w:rFonts w:cs="Arial"/>
          <w:b/>
          <w:color w:val="0070C0"/>
          <w:sz w:val="40"/>
          <w:szCs w:val="40"/>
        </w:rPr>
      </w:pPr>
    </w:p>
    <w:p w:rsidR="00EB559C" w:rsidRPr="00C85B25" w:rsidRDefault="00EB559C" w:rsidP="00EB559C">
      <w:pPr>
        <w:pStyle w:val="BodyText"/>
        <w:jc w:val="right"/>
        <w:rPr>
          <w:rFonts w:cs="Arial"/>
          <w:b/>
          <w:color w:val="0070C0"/>
          <w:sz w:val="40"/>
          <w:szCs w:val="40"/>
        </w:rPr>
      </w:pPr>
    </w:p>
    <w:p w:rsidR="00EB559C" w:rsidRPr="00C85B25" w:rsidRDefault="00EB559C" w:rsidP="00EB559C">
      <w:pPr>
        <w:pStyle w:val="BodyText"/>
        <w:jc w:val="right"/>
        <w:rPr>
          <w:rFonts w:cs="Arial"/>
        </w:rPr>
      </w:pPr>
    </w:p>
    <w:p w:rsidR="00EB559C" w:rsidRPr="00C85B25" w:rsidRDefault="00EB559C" w:rsidP="00EB559C">
      <w:pPr>
        <w:pStyle w:val="BodyText"/>
        <w:jc w:val="right"/>
        <w:rPr>
          <w:rFonts w:cs="Arial"/>
        </w:rPr>
      </w:pPr>
      <w:r w:rsidRPr="00C85B25">
        <w:rPr>
          <w:rFonts w:cs="Arial"/>
        </w:rPr>
        <w:t>10 June 2016</w:t>
      </w:r>
    </w:p>
    <w:p w:rsidR="00EB559C" w:rsidRPr="00C643B9" w:rsidRDefault="00EB559C" w:rsidP="00D30EE2">
      <w:pPr>
        <w:pStyle w:val="BodyText"/>
        <w:spacing w:before="0" w:after="0" w:line="240" w:lineRule="auto"/>
        <w:rPr>
          <w:rFonts w:cs="Arial"/>
          <w:sz w:val="22"/>
          <w:szCs w:val="22"/>
        </w:rPr>
      </w:pPr>
      <w:r>
        <w:rPr>
          <w:rFonts w:cs="Arial"/>
          <w:sz w:val="22"/>
          <w:szCs w:val="22"/>
        </w:rPr>
        <w:br w:type="column"/>
      </w:r>
    </w:p>
    <w:p w:rsidR="009D7B00" w:rsidRPr="00E121A9" w:rsidRDefault="00EB559C" w:rsidP="000F6151">
      <w:pPr>
        <w:pStyle w:val="MoECoverPageSubheading"/>
        <w:spacing w:after="0" w:line="240" w:lineRule="auto"/>
        <w:rPr>
          <w:b/>
          <w:color w:val="0070C0"/>
          <w:sz w:val="40"/>
          <w:szCs w:val="40"/>
        </w:rPr>
      </w:pPr>
      <w:r>
        <w:rPr>
          <w:b/>
          <w:color w:val="0070C0"/>
          <w:sz w:val="40"/>
          <w:szCs w:val="40"/>
        </w:rPr>
        <w:br w:type="column"/>
      </w:r>
      <w:r w:rsidR="009D7B00" w:rsidRPr="00E121A9">
        <w:rPr>
          <w:b/>
          <w:color w:val="0070C0"/>
          <w:sz w:val="40"/>
          <w:szCs w:val="40"/>
        </w:rPr>
        <w:lastRenderedPageBreak/>
        <w:t>P</w:t>
      </w:r>
      <w:r w:rsidR="00951758" w:rsidRPr="00E121A9">
        <w:rPr>
          <w:b/>
          <w:color w:val="0070C0"/>
          <w:sz w:val="40"/>
          <w:szCs w:val="40"/>
        </w:rPr>
        <w:t>er-</w:t>
      </w:r>
      <w:r w:rsidR="00691082">
        <w:rPr>
          <w:b/>
          <w:color w:val="0070C0"/>
          <w:sz w:val="40"/>
          <w:szCs w:val="40"/>
        </w:rPr>
        <w:t>child</w:t>
      </w:r>
      <w:r w:rsidR="00691082" w:rsidRPr="00E121A9">
        <w:rPr>
          <w:b/>
          <w:color w:val="0070C0"/>
          <w:sz w:val="40"/>
          <w:szCs w:val="40"/>
        </w:rPr>
        <w:t xml:space="preserve"> </w:t>
      </w:r>
      <w:r w:rsidR="00344209">
        <w:rPr>
          <w:b/>
          <w:color w:val="0070C0"/>
          <w:sz w:val="40"/>
          <w:szCs w:val="40"/>
        </w:rPr>
        <w:t>f</w:t>
      </w:r>
      <w:r w:rsidR="009D7B00" w:rsidRPr="00E121A9">
        <w:rPr>
          <w:b/>
          <w:color w:val="0070C0"/>
          <w:sz w:val="40"/>
          <w:szCs w:val="40"/>
        </w:rPr>
        <w:t xml:space="preserve">unding </w:t>
      </w:r>
      <w:r w:rsidR="00344209">
        <w:rPr>
          <w:b/>
          <w:color w:val="0070C0"/>
          <w:sz w:val="40"/>
          <w:szCs w:val="40"/>
        </w:rPr>
        <w:t>a</w:t>
      </w:r>
      <w:r w:rsidR="00951758" w:rsidRPr="00E121A9">
        <w:rPr>
          <w:b/>
          <w:color w:val="0070C0"/>
          <w:sz w:val="40"/>
          <w:szCs w:val="40"/>
        </w:rPr>
        <w:t xml:space="preserve">cross </w:t>
      </w:r>
      <w:r w:rsidR="00344209">
        <w:rPr>
          <w:b/>
          <w:color w:val="0070C0"/>
          <w:sz w:val="40"/>
          <w:szCs w:val="40"/>
        </w:rPr>
        <w:t>s</w:t>
      </w:r>
      <w:r w:rsidR="009D7B00" w:rsidRPr="00E121A9">
        <w:rPr>
          <w:b/>
          <w:color w:val="0070C0"/>
          <w:sz w:val="40"/>
          <w:szCs w:val="40"/>
        </w:rPr>
        <w:t xml:space="preserve">chooling </w:t>
      </w:r>
    </w:p>
    <w:p w:rsidR="009D7B00" w:rsidRPr="00BF7D8F" w:rsidRDefault="009D7B00" w:rsidP="00DE6194">
      <w:pPr>
        <w:pStyle w:val="MoEHeading3"/>
        <w:spacing w:before="0" w:after="0" w:line="240" w:lineRule="auto"/>
        <w:ind w:left="720"/>
        <w:jc w:val="both"/>
        <w:rPr>
          <w:rFonts w:cs="Arial"/>
          <w:color w:val="auto"/>
          <w:sz w:val="24"/>
        </w:rPr>
      </w:pPr>
    </w:p>
    <w:p w:rsidR="009D7B00" w:rsidRPr="00DE6194" w:rsidRDefault="00951758" w:rsidP="00DE6194">
      <w:pPr>
        <w:pStyle w:val="MoEHeading3"/>
        <w:spacing w:before="0" w:after="0" w:line="240" w:lineRule="auto"/>
        <w:jc w:val="both"/>
        <w:rPr>
          <w:rFonts w:cs="Arial"/>
          <w:color w:val="0070C0"/>
          <w:sz w:val="24"/>
        </w:rPr>
      </w:pPr>
      <w:r>
        <w:rPr>
          <w:rFonts w:cs="Arial"/>
          <w:color w:val="0070C0"/>
          <w:sz w:val="24"/>
        </w:rPr>
        <w:t>Introduction</w:t>
      </w:r>
    </w:p>
    <w:p w:rsidR="00DE6194" w:rsidRPr="00DE6194" w:rsidRDefault="00DE6194" w:rsidP="00DE6194">
      <w:pPr>
        <w:pStyle w:val="MoEBodyText"/>
        <w:spacing w:after="0"/>
      </w:pPr>
    </w:p>
    <w:p w:rsidR="00B276AA" w:rsidRPr="00B276AA" w:rsidRDefault="00B276AA" w:rsidP="00B276AA">
      <w:pPr>
        <w:contextualSpacing/>
        <w:jc w:val="both"/>
        <w:rPr>
          <w:rFonts w:ascii="Arial" w:hAnsi="Arial" w:cs="Arial"/>
          <w:sz w:val="22"/>
          <w:szCs w:val="22"/>
        </w:rPr>
      </w:pPr>
      <w:r w:rsidRPr="00B276AA">
        <w:rPr>
          <w:rFonts w:ascii="Arial" w:hAnsi="Arial" w:cs="Arial"/>
          <w:sz w:val="22"/>
          <w:szCs w:val="22"/>
        </w:rPr>
        <w:t xml:space="preserve">The Review of Education Funding Systems </w:t>
      </w:r>
      <w:r>
        <w:rPr>
          <w:rFonts w:ascii="Arial" w:hAnsi="Arial" w:cs="Arial"/>
          <w:sz w:val="22"/>
          <w:szCs w:val="22"/>
        </w:rPr>
        <w:t xml:space="preserve">(the Review) </w:t>
      </w:r>
      <w:r w:rsidRPr="00B276AA">
        <w:rPr>
          <w:rFonts w:ascii="Arial" w:hAnsi="Arial" w:cs="Arial"/>
          <w:sz w:val="22"/>
          <w:szCs w:val="22"/>
        </w:rPr>
        <w:t>for early childhood education (ECE) services and schooling is seeking, as part of the broader Education Work Programme, to ensure funding is directed to the size of the education challenge ECE services, schools and Communities of Learning</w:t>
      </w:r>
      <w:r w:rsidR="00D30EE2">
        <w:rPr>
          <w:rFonts w:ascii="Arial" w:hAnsi="Arial" w:cs="Arial"/>
          <w:sz w:val="22"/>
          <w:szCs w:val="22"/>
        </w:rPr>
        <w:t xml:space="preserve"> (CoL)</w:t>
      </w:r>
      <w:r w:rsidRPr="00B276AA">
        <w:rPr>
          <w:rFonts w:ascii="Arial" w:hAnsi="Arial" w:cs="Arial"/>
          <w:sz w:val="22"/>
          <w:szCs w:val="22"/>
        </w:rPr>
        <w:t xml:space="preserve"> face, and towards growing the learning and achievement of all children and young people</w:t>
      </w:r>
      <w:r>
        <w:rPr>
          <w:rFonts w:ascii="Arial" w:hAnsi="Arial" w:cs="Arial"/>
          <w:sz w:val="22"/>
          <w:szCs w:val="22"/>
        </w:rPr>
        <w:t>.</w:t>
      </w:r>
    </w:p>
    <w:p w:rsidR="00B276AA" w:rsidRDefault="00B276AA" w:rsidP="00DE6194">
      <w:pPr>
        <w:contextualSpacing/>
        <w:jc w:val="both"/>
        <w:rPr>
          <w:rFonts w:ascii="Arial" w:hAnsi="Arial" w:cs="Arial"/>
          <w:sz w:val="22"/>
          <w:szCs w:val="22"/>
        </w:rPr>
      </w:pPr>
    </w:p>
    <w:p w:rsidR="009D7B00" w:rsidRPr="00BF7D8F" w:rsidRDefault="00951758" w:rsidP="00DE6194">
      <w:pPr>
        <w:contextualSpacing/>
        <w:jc w:val="both"/>
        <w:rPr>
          <w:rFonts w:ascii="Arial" w:hAnsi="Arial" w:cs="Arial"/>
          <w:sz w:val="22"/>
          <w:szCs w:val="22"/>
        </w:rPr>
      </w:pPr>
      <w:r>
        <w:rPr>
          <w:rFonts w:ascii="Arial" w:hAnsi="Arial" w:cs="Arial"/>
          <w:sz w:val="22"/>
          <w:szCs w:val="22"/>
        </w:rPr>
        <w:t xml:space="preserve">The Review </w:t>
      </w:r>
      <w:r w:rsidR="009D7B00" w:rsidRPr="00BF7D8F">
        <w:rPr>
          <w:rFonts w:ascii="Arial" w:hAnsi="Arial" w:cs="Arial"/>
          <w:sz w:val="22"/>
          <w:szCs w:val="22"/>
        </w:rPr>
        <w:t xml:space="preserve">is exploring a more individualised and </w:t>
      </w:r>
      <w:r w:rsidR="00691082">
        <w:rPr>
          <w:rFonts w:ascii="Arial" w:hAnsi="Arial" w:cs="Arial"/>
          <w:sz w:val="22"/>
          <w:szCs w:val="22"/>
        </w:rPr>
        <w:t>child</w:t>
      </w:r>
      <w:r w:rsidR="009D7B00" w:rsidRPr="00BF7D8F">
        <w:rPr>
          <w:rFonts w:ascii="Arial" w:hAnsi="Arial" w:cs="Arial"/>
          <w:sz w:val="22"/>
          <w:szCs w:val="22"/>
        </w:rPr>
        <w:t>-focussed funding model</w:t>
      </w:r>
      <w:r w:rsidR="00A42349">
        <w:rPr>
          <w:rFonts w:ascii="Arial" w:hAnsi="Arial" w:cs="Arial"/>
          <w:sz w:val="22"/>
          <w:szCs w:val="22"/>
        </w:rPr>
        <w:t xml:space="preserve">. In schooling this would comprise </w:t>
      </w:r>
      <w:r w:rsidR="009D7B00" w:rsidRPr="00BF7D8F">
        <w:rPr>
          <w:rFonts w:ascii="Arial" w:hAnsi="Arial" w:cs="Arial"/>
          <w:sz w:val="22"/>
          <w:szCs w:val="22"/>
        </w:rPr>
        <w:t>a standard per-</w:t>
      </w:r>
      <w:r w:rsidR="00691082">
        <w:rPr>
          <w:rFonts w:ascii="Arial" w:hAnsi="Arial" w:cs="Arial"/>
          <w:sz w:val="22"/>
          <w:szCs w:val="22"/>
        </w:rPr>
        <w:t>child</w:t>
      </w:r>
      <w:r w:rsidR="00691082" w:rsidRPr="00BF7D8F">
        <w:rPr>
          <w:rFonts w:ascii="Arial" w:hAnsi="Arial" w:cs="Arial"/>
          <w:sz w:val="22"/>
          <w:szCs w:val="22"/>
        </w:rPr>
        <w:t xml:space="preserve"> </w:t>
      </w:r>
      <w:r w:rsidR="009D7B00" w:rsidRPr="00BF7D8F">
        <w:rPr>
          <w:rFonts w:ascii="Arial" w:hAnsi="Arial" w:cs="Arial"/>
          <w:sz w:val="22"/>
          <w:szCs w:val="22"/>
        </w:rPr>
        <w:t>funding amount</w:t>
      </w:r>
      <w:r w:rsidR="00A42349">
        <w:rPr>
          <w:rFonts w:ascii="Arial" w:hAnsi="Arial" w:cs="Arial"/>
          <w:sz w:val="22"/>
          <w:szCs w:val="22"/>
        </w:rPr>
        <w:t>,</w:t>
      </w:r>
      <w:r w:rsidR="009D7B00" w:rsidRPr="00BF7D8F">
        <w:rPr>
          <w:rFonts w:ascii="Arial" w:hAnsi="Arial" w:cs="Arial"/>
          <w:sz w:val="22"/>
          <w:szCs w:val="22"/>
        </w:rPr>
        <w:t xml:space="preserve"> and additional </w:t>
      </w:r>
      <w:r w:rsidR="00344209">
        <w:rPr>
          <w:rFonts w:ascii="Arial" w:hAnsi="Arial" w:cs="Arial"/>
          <w:sz w:val="22"/>
          <w:szCs w:val="22"/>
        </w:rPr>
        <w:t>funding</w:t>
      </w:r>
      <w:r w:rsidR="009D7B00" w:rsidRPr="00BF7D8F">
        <w:rPr>
          <w:rFonts w:ascii="Arial" w:hAnsi="Arial" w:cs="Arial"/>
          <w:sz w:val="22"/>
          <w:szCs w:val="22"/>
        </w:rPr>
        <w:t xml:space="preserve"> relating to children and young people who meet criteria associated with being </w:t>
      </w:r>
      <w:r w:rsidR="009D7B00" w:rsidRPr="00BF7D8F">
        <w:rPr>
          <w:rFonts w:ascii="Arial" w:hAnsi="Arial" w:cs="Arial"/>
          <w:sz w:val="22"/>
          <w:szCs w:val="22"/>
          <w:lang w:val="en-US"/>
        </w:rPr>
        <w:t>most at risk of educational under-achievement</w:t>
      </w:r>
      <w:r w:rsidR="009D7B00" w:rsidRPr="00BF7D8F">
        <w:rPr>
          <w:rFonts w:ascii="Arial" w:hAnsi="Arial" w:cs="Arial"/>
          <w:sz w:val="22"/>
          <w:szCs w:val="22"/>
        </w:rPr>
        <w:t>.</w:t>
      </w:r>
    </w:p>
    <w:p w:rsidR="009D7B00" w:rsidRPr="00BF7D8F" w:rsidRDefault="009D7B00" w:rsidP="00DE6194">
      <w:pPr>
        <w:contextualSpacing/>
        <w:jc w:val="both"/>
        <w:rPr>
          <w:rFonts w:ascii="Arial" w:hAnsi="Arial" w:cs="Arial"/>
          <w:sz w:val="22"/>
          <w:szCs w:val="22"/>
        </w:rPr>
      </w:pPr>
    </w:p>
    <w:p w:rsidR="009D7B00" w:rsidRPr="00BF7D8F" w:rsidRDefault="009D7B00" w:rsidP="00DE6194">
      <w:pPr>
        <w:contextualSpacing/>
        <w:jc w:val="both"/>
        <w:rPr>
          <w:rFonts w:ascii="Arial" w:hAnsi="Arial" w:cs="Arial"/>
          <w:sz w:val="22"/>
          <w:szCs w:val="22"/>
        </w:rPr>
      </w:pPr>
      <w:r w:rsidRPr="00BF7D8F">
        <w:rPr>
          <w:rFonts w:ascii="Arial" w:hAnsi="Arial" w:cs="Arial"/>
          <w:sz w:val="22"/>
          <w:szCs w:val="22"/>
        </w:rPr>
        <w:t xml:space="preserve">This model envisages </w:t>
      </w:r>
      <w:r w:rsidR="008D4580">
        <w:rPr>
          <w:rFonts w:ascii="Arial" w:hAnsi="Arial" w:cs="Arial"/>
          <w:sz w:val="22"/>
          <w:szCs w:val="22"/>
        </w:rPr>
        <w:t xml:space="preserve">that </w:t>
      </w:r>
      <w:r w:rsidRPr="00BF7D8F">
        <w:rPr>
          <w:rFonts w:ascii="Arial" w:hAnsi="Arial" w:cs="Arial"/>
          <w:sz w:val="22"/>
          <w:szCs w:val="22"/>
        </w:rPr>
        <w:t xml:space="preserve">a greater share of school </w:t>
      </w:r>
      <w:r w:rsidR="00D30EE2">
        <w:rPr>
          <w:rFonts w:ascii="Arial" w:hAnsi="Arial" w:cs="Arial"/>
          <w:sz w:val="22"/>
          <w:szCs w:val="22"/>
        </w:rPr>
        <w:t xml:space="preserve">and CoL </w:t>
      </w:r>
      <w:r w:rsidRPr="00BF7D8F">
        <w:rPr>
          <w:rFonts w:ascii="Arial" w:hAnsi="Arial" w:cs="Arial"/>
          <w:sz w:val="22"/>
          <w:szCs w:val="22"/>
        </w:rPr>
        <w:t>funding would be determined on a per-</w:t>
      </w:r>
      <w:r w:rsidR="00691082">
        <w:rPr>
          <w:rFonts w:ascii="Arial" w:hAnsi="Arial" w:cs="Arial"/>
          <w:sz w:val="22"/>
          <w:szCs w:val="22"/>
        </w:rPr>
        <w:t>child</w:t>
      </w:r>
      <w:r w:rsidR="00691082" w:rsidRPr="00BF7D8F">
        <w:rPr>
          <w:rFonts w:ascii="Arial" w:hAnsi="Arial" w:cs="Arial"/>
          <w:sz w:val="22"/>
          <w:szCs w:val="22"/>
        </w:rPr>
        <w:t xml:space="preserve"> </w:t>
      </w:r>
      <w:r w:rsidRPr="00BF7D8F">
        <w:rPr>
          <w:rFonts w:ascii="Arial" w:hAnsi="Arial" w:cs="Arial"/>
          <w:sz w:val="22"/>
          <w:szCs w:val="22"/>
        </w:rPr>
        <w:t>basis</w:t>
      </w:r>
      <w:r w:rsidR="00481022">
        <w:rPr>
          <w:rFonts w:ascii="Arial" w:hAnsi="Arial" w:cs="Arial"/>
          <w:sz w:val="22"/>
          <w:szCs w:val="22"/>
        </w:rPr>
        <w:t>,</w:t>
      </w:r>
      <w:r w:rsidRPr="00BF7D8F">
        <w:rPr>
          <w:rFonts w:ascii="Arial" w:hAnsi="Arial" w:cs="Arial"/>
          <w:sz w:val="22"/>
          <w:szCs w:val="22"/>
        </w:rPr>
        <w:t xml:space="preserve"> compared to the current school funding model. </w:t>
      </w:r>
    </w:p>
    <w:p w:rsidR="009D7B00" w:rsidRPr="00BF7D8F" w:rsidRDefault="009D7B00" w:rsidP="00DE6194">
      <w:pPr>
        <w:contextualSpacing/>
        <w:jc w:val="both"/>
        <w:rPr>
          <w:rFonts w:ascii="Arial" w:hAnsi="Arial" w:cs="Arial"/>
          <w:sz w:val="22"/>
          <w:szCs w:val="22"/>
        </w:rPr>
      </w:pPr>
    </w:p>
    <w:p w:rsidR="009D7B00" w:rsidRPr="00BF7D8F" w:rsidRDefault="00344209" w:rsidP="00DE6194">
      <w:pPr>
        <w:contextualSpacing/>
        <w:jc w:val="both"/>
        <w:rPr>
          <w:rFonts w:ascii="Arial" w:hAnsi="Arial" w:cs="Arial"/>
          <w:sz w:val="22"/>
          <w:szCs w:val="22"/>
        </w:rPr>
      </w:pPr>
      <w:r>
        <w:rPr>
          <w:rFonts w:ascii="Arial" w:hAnsi="Arial" w:cs="Arial"/>
          <w:sz w:val="22"/>
          <w:szCs w:val="22"/>
        </w:rPr>
        <w:t>In this paper we consider</w:t>
      </w:r>
      <w:r w:rsidR="009D7B00" w:rsidRPr="00BF7D8F">
        <w:rPr>
          <w:rFonts w:ascii="Arial" w:hAnsi="Arial" w:cs="Arial"/>
          <w:sz w:val="22"/>
          <w:szCs w:val="22"/>
        </w:rPr>
        <w:t xml:space="preserve"> issues relating to how </w:t>
      </w:r>
      <w:r>
        <w:rPr>
          <w:rFonts w:ascii="Arial" w:hAnsi="Arial" w:cs="Arial"/>
          <w:sz w:val="22"/>
          <w:szCs w:val="22"/>
        </w:rPr>
        <w:t>the</w:t>
      </w:r>
      <w:r w:rsidR="00951758">
        <w:rPr>
          <w:rFonts w:ascii="Arial" w:hAnsi="Arial" w:cs="Arial"/>
          <w:sz w:val="22"/>
          <w:szCs w:val="22"/>
        </w:rPr>
        <w:t xml:space="preserve"> standard</w:t>
      </w:r>
      <w:r w:rsidR="009D7B00" w:rsidRPr="00BF7D8F">
        <w:rPr>
          <w:rFonts w:ascii="Arial" w:hAnsi="Arial" w:cs="Arial"/>
          <w:sz w:val="22"/>
          <w:szCs w:val="22"/>
        </w:rPr>
        <w:t xml:space="preserve"> per-</w:t>
      </w:r>
      <w:r w:rsidR="00691082">
        <w:rPr>
          <w:rFonts w:ascii="Arial" w:hAnsi="Arial" w:cs="Arial"/>
          <w:sz w:val="22"/>
          <w:szCs w:val="22"/>
        </w:rPr>
        <w:t>child</w:t>
      </w:r>
      <w:r w:rsidR="00691082" w:rsidRPr="00BF7D8F">
        <w:rPr>
          <w:rFonts w:ascii="Arial" w:hAnsi="Arial" w:cs="Arial"/>
          <w:sz w:val="22"/>
          <w:szCs w:val="22"/>
        </w:rPr>
        <w:t xml:space="preserve"> </w:t>
      </w:r>
      <w:r w:rsidR="009D7B00" w:rsidRPr="00BF7D8F">
        <w:rPr>
          <w:rFonts w:ascii="Arial" w:hAnsi="Arial" w:cs="Arial"/>
          <w:sz w:val="22"/>
          <w:szCs w:val="22"/>
        </w:rPr>
        <w:t xml:space="preserve">funding amount might be determined, in particular how the </w:t>
      </w:r>
      <w:r w:rsidR="00951758">
        <w:rPr>
          <w:rFonts w:ascii="Arial" w:hAnsi="Arial" w:cs="Arial"/>
          <w:sz w:val="22"/>
          <w:szCs w:val="22"/>
        </w:rPr>
        <w:t>amount</w:t>
      </w:r>
      <w:r w:rsidR="009D7B00" w:rsidRPr="00BF7D8F">
        <w:rPr>
          <w:rFonts w:ascii="Arial" w:hAnsi="Arial" w:cs="Arial"/>
          <w:sz w:val="22"/>
          <w:szCs w:val="22"/>
        </w:rPr>
        <w:t xml:space="preserve"> might be aligned with </w:t>
      </w:r>
      <w:r w:rsidR="00481022">
        <w:rPr>
          <w:rFonts w:ascii="Arial" w:hAnsi="Arial" w:cs="Arial"/>
          <w:sz w:val="22"/>
          <w:szCs w:val="22"/>
        </w:rPr>
        <w:t>th</w:t>
      </w:r>
      <w:r>
        <w:rPr>
          <w:rFonts w:ascii="Arial" w:hAnsi="Arial" w:cs="Arial"/>
          <w:sz w:val="22"/>
          <w:szCs w:val="22"/>
        </w:rPr>
        <w:t>e</w:t>
      </w:r>
      <w:r w:rsidR="00481022">
        <w:rPr>
          <w:rFonts w:ascii="Arial" w:hAnsi="Arial" w:cs="Arial"/>
          <w:sz w:val="22"/>
          <w:szCs w:val="22"/>
        </w:rPr>
        <w:t xml:space="preserve"> expected amount of </w:t>
      </w:r>
      <w:r w:rsidR="009D7B00" w:rsidRPr="00BF7D8F">
        <w:rPr>
          <w:rFonts w:ascii="Arial" w:hAnsi="Arial" w:cs="Arial"/>
          <w:sz w:val="22"/>
          <w:szCs w:val="22"/>
        </w:rPr>
        <w:t>teaching and learning</w:t>
      </w:r>
      <w:r>
        <w:rPr>
          <w:rFonts w:ascii="Arial" w:hAnsi="Arial" w:cs="Arial"/>
          <w:sz w:val="22"/>
          <w:szCs w:val="22"/>
        </w:rPr>
        <w:t>,</w:t>
      </w:r>
      <w:r w:rsidR="009D7B00" w:rsidRPr="00BF7D8F">
        <w:rPr>
          <w:rFonts w:ascii="Arial" w:hAnsi="Arial" w:cs="Arial"/>
          <w:sz w:val="22"/>
          <w:szCs w:val="22"/>
        </w:rPr>
        <w:t xml:space="preserve"> and children and young people’s needs at each stage of schooling.  </w:t>
      </w:r>
      <w:r>
        <w:rPr>
          <w:rFonts w:ascii="Arial" w:hAnsi="Arial" w:cs="Arial"/>
          <w:sz w:val="22"/>
          <w:szCs w:val="22"/>
        </w:rPr>
        <w:t>We</w:t>
      </w:r>
      <w:r w:rsidR="009D7B00" w:rsidRPr="00BF7D8F">
        <w:rPr>
          <w:rFonts w:ascii="Arial" w:hAnsi="Arial" w:cs="Arial"/>
          <w:sz w:val="22"/>
          <w:szCs w:val="22"/>
        </w:rPr>
        <w:t xml:space="preserve"> also consider how this might differ for children </w:t>
      </w:r>
      <w:r w:rsidR="009D7B00">
        <w:rPr>
          <w:rFonts w:ascii="Arial" w:hAnsi="Arial" w:cs="Arial"/>
          <w:sz w:val="22"/>
          <w:szCs w:val="22"/>
        </w:rPr>
        <w:t xml:space="preserve">and young people </w:t>
      </w:r>
      <w:r w:rsidR="009D7B00" w:rsidRPr="00BF7D8F">
        <w:rPr>
          <w:rFonts w:ascii="Arial" w:hAnsi="Arial" w:cs="Arial"/>
          <w:sz w:val="22"/>
          <w:szCs w:val="22"/>
        </w:rPr>
        <w:t>studying in</w:t>
      </w:r>
      <w:r w:rsidR="00A42349">
        <w:rPr>
          <w:rFonts w:ascii="Arial" w:hAnsi="Arial" w:cs="Arial"/>
          <w:sz w:val="22"/>
          <w:szCs w:val="22"/>
        </w:rPr>
        <w:t>,</w:t>
      </w:r>
      <w:r w:rsidR="009D7B00" w:rsidRPr="00BF7D8F">
        <w:rPr>
          <w:rFonts w:ascii="Arial" w:hAnsi="Arial" w:cs="Arial"/>
          <w:sz w:val="22"/>
          <w:szCs w:val="22"/>
        </w:rPr>
        <w:t xml:space="preserve"> and through</w:t>
      </w:r>
      <w:r w:rsidR="00A42349">
        <w:rPr>
          <w:rFonts w:ascii="Arial" w:hAnsi="Arial" w:cs="Arial"/>
          <w:sz w:val="22"/>
          <w:szCs w:val="22"/>
        </w:rPr>
        <w:t>,</w:t>
      </w:r>
      <w:r w:rsidR="009D7B00" w:rsidRPr="00BF7D8F">
        <w:rPr>
          <w:rFonts w:ascii="Arial" w:hAnsi="Arial" w:cs="Arial"/>
          <w:sz w:val="22"/>
          <w:szCs w:val="22"/>
        </w:rPr>
        <w:t xml:space="preserve"> </w:t>
      </w:r>
      <w:proofErr w:type="gramStart"/>
      <w:r w:rsidR="009D7B00" w:rsidRPr="00BF7D8F">
        <w:rPr>
          <w:rFonts w:ascii="Arial" w:hAnsi="Arial" w:cs="Arial"/>
          <w:sz w:val="22"/>
          <w:szCs w:val="22"/>
        </w:rPr>
        <w:t>te</w:t>
      </w:r>
      <w:proofErr w:type="gramEnd"/>
      <w:r w:rsidR="009D7B00" w:rsidRPr="00BF7D8F">
        <w:rPr>
          <w:rFonts w:ascii="Arial" w:hAnsi="Arial" w:cs="Arial"/>
          <w:sz w:val="22"/>
          <w:szCs w:val="22"/>
        </w:rPr>
        <w:t xml:space="preserve"> reo Māori or learning te reo Māori as a subject.</w:t>
      </w:r>
    </w:p>
    <w:p w:rsidR="009D7B00" w:rsidRPr="00BF7D8F" w:rsidRDefault="009D7B00" w:rsidP="00DE6194">
      <w:pPr>
        <w:contextualSpacing/>
        <w:jc w:val="both"/>
        <w:rPr>
          <w:rFonts w:ascii="Arial" w:hAnsi="Arial" w:cs="Arial"/>
          <w:sz w:val="22"/>
          <w:szCs w:val="22"/>
        </w:rPr>
      </w:pPr>
    </w:p>
    <w:p w:rsidR="009D7B00" w:rsidRDefault="00344209" w:rsidP="00DE6194">
      <w:pPr>
        <w:contextualSpacing/>
        <w:jc w:val="both"/>
        <w:rPr>
          <w:rFonts w:ascii="Arial" w:hAnsi="Arial" w:cs="Arial"/>
          <w:sz w:val="22"/>
          <w:szCs w:val="22"/>
        </w:rPr>
      </w:pPr>
      <w:r>
        <w:rPr>
          <w:rFonts w:ascii="Arial" w:hAnsi="Arial" w:cs="Arial"/>
          <w:sz w:val="22"/>
          <w:szCs w:val="22"/>
        </w:rPr>
        <w:t>T</w:t>
      </w:r>
      <w:r w:rsidR="009D7B00" w:rsidRPr="00BF7D8F">
        <w:rPr>
          <w:rFonts w:ascii="Arial" w:hAnsi="Arial" w:cs="Arial"/>
          <w:sz w:val="22"/>
          <w:szCs w:val="22"/>
        </w:rPr>
        <w:t xml:space="preserve">he current profile of funding across year levels and between </w:t>
      </w:r>
      <w:r w:rsidR="00691082">
        <w:rPr>
          <w:rFonts w:ascii="Arial" w:hAnsi="Arial" w:cs="Arial"/>
          <w:sz w:val="22"/>
          <w:szCs w:val="22"/>
        </w:rPr>
        <w:t>children and young people</w:t>
      </w:r>
      <w:r w:rsidR="00691082" w:rsidRPr="00BF7D8F">
        <w:rPr>
          <w:rFonts w:ascii="Arial" w:hAnsi="Arial" w:cs="Arial"/>
          <w:sz w:val="22"/>
          <w:szCs w:val="22"/>
        </w:rPr>
        <w:t xml:space="preserve"> </w:t>
      </w:r>
      <w:r w:rsidR="009D7B00" w:rsidRPr="00BF7D8F">
        <w:rPr>
          <w:rFonts w:ascii="Arial" w:hAnsi="Arial" w:cs="Arial"/>
          <w:sz w:val="22"/>
          <w:szCs w:val="22"/>
        </w:rPr>
        <w:t xml:space="preserve">studying in English and Māori medium contexts </w:t>
      </w:r>
      <w:r>
        <w:rPr>
          <w:rFonts w:ascii="Arial" w:hAnsi="Arial" w:cs="Arial"/>
          <w:sz w:val="22"/>
          <w:szCs w:val="22"/>
        </w:rPr>
        <w:t xml:space="preserve">is outlined, </w:t>
      </w:r>
      <w:r w:rsidR="009D7B00" w:rsidRPr="00BF7D8F">
        <w:rPr>
          <w:rFonts w:ascii="Arial" w:hAnsi="Arial" w:cs="Arial"/>
          <w:sz w:val="22"/>
          <w:szCs w:val="22"/>
        </w:rPr>
        <w:t>and the drivers that have shaped this funding distribution</w:t>
      </w:r>
      <w:r>
        <w:rPr>
          <w:rFonts w:ascii="Arial" w:hAnsi="Arial" w:cs="Arial"/>
          <w:sz w:val="22"/>
          <w:szCs w:val="22"/>
        </w:rPr>
        <w:t xml:space="preserve"> are explored</w:t>
      </w:r>
      <w:r w:rsidR="009D7B00" w:rsidRPr="00BF7D8F">
        <w:rPr>
          <w:rFonts w:ascii="Arial" w:hAnsi="Arial" w:cs="Arial"/>
          <w:sz w:val="22"/>
          <w:szCs w:val="22"/>
        </w:rPr>
        <w:t>.  Evid</w:t>
      </w:r>
      <w:r w:rsidR="00481022">
        <w:rPr>
          <w:rFonts w:ascii="Arial" w:hAnsi="Arial" w:cs="Arial"/>
          <w:sz w:val="22"/>
          <w:szCs w:val="22"/>
        </w:rPr>
        <w:t>ence that could inform decision-</w:t>
      </w:r>
      <w:r w:rsidR="009D7B00" w:rsidRPr="00BF7D8F">
        <w:rPr>
          <w:rFonts w:ascii="Arial" w:hAnsi="Arial" w:cs="Arial"/>
          <w:sz w:val="22"/>
          <w:szCs w:val="22"/>
        </w:rPr>
        <w:t>making, and other factors relevant to determining the relative per-</w:t>
      </w:r>
      <w:r w:rsidR="00691082">
        <w:rPr>
          <w:rFonts w:ascii="Arial" w:hAnsi="Arial" w:cs="Arial"/>
          <w:sz w:val="22"/>
          <w:szCs w:val="22"/>
        </w:rPr>
        <w:t>child</w:t>
      </w:r>
      <w:r w:rsidR="00691082" w:rsidRPr="00BF7D8F">
        <w:rPr>
          <w:rFonts w:ascii="Arial" w:hAnsi="Arial" w:cs="Arial"/>
          <w:sz w:val="22"/>
          <w:szCs w:val="22"/>
        </w:rPr>
        <w:t xml:space="preserve"> </w:t>
      </w:r>
      <w:r w:rsidR="009D7B00" w:rsidRPr="00BF7D8F">
        <w:rPr>
          <w:rFonts w:ascii="Arial" w:hAnsi="Arial" w:cs="Arial"/>
          <w:sz w:val="22"/>
          <w:szCs w:val="22"/>
        </w:rPr>
        <w:t xml:space="preserve">funding amount across the year levels are </w:t>
      </w:r>
      <w:r>
        <w:rPr>
          <w:rFonts w:ascii="Arial" w:hAnsi="Arial" w:cs="Arial"/>
          <w:sz w:val="22"/>
          <w:szCs w:val="22"/>
        </w:rPr>
        <w:t xml:space="preserve">also </w:t>
      </w:r>
      <w:r w:rsidR="009D7B00" w:rsidRPr="00BF7D8F">
        <w:rPr>
          <w:rFonts w:ascii="Arial" w:hAnsi="Arial" w:cs="Arial"/>
          <w:sz w:val="22"/>
          <w:szCs w:val="22"/>
        </w:rPr>
        <w:t xml:space="preserve">outlined, together with insights from approaches in Australia.   </w:t>
      </w:r>
    </w:p>
    <w:p w:rsidR="00DE6194" w:rsidRPr="00BF7D8F" w:rsidRDefault="00DE6194" w:rsidP="00DE6194">
      <w:pPr>
        <w:contextualSpacing/>
        <w:jc w:val="both"/>
        <w:rPr>
          <w:rFonts w:ascii="Arial" w:hAnsi="Arial" w:cs="Arial"/>
          <w:sz w:val="22"/>
          <w:szCs w:val="22"/>
        </w:rPr>
      </w:pPr>
    </w:p>
    <w:p w:rsidR="009D7B00" w:rsidRPr="00DE6194" w:rsidRDefault="009D7B00" w:rsidP="00DE6194">
      <w:pPr>
        <w:pStyle w:val="MoEHeading3"/>
        <w:spacing w:before="0" w:after="0" w:line="240" w:lineRule="auto"/>
        <w:jc w:val="both"/>
        <w:rPr>
          <w:rFonts w:cs="Arial"/>
          <w:color w:val="0070C0"/>
          <w:sz w:val="24"/>
        </w:rPr>
      </w:pPr>
      <w:r w:rsidRPr="00DE6194">
        <w:rPr>
          <w:rFonts w:cs="Arial"/>
          <w:color w:val="0070C0"/>
          <w:sz w:val="24"/>
        </w:rPr>
        <w:t>Context</w:t>
      </w:r>
    </w:p>
    <w:p w:rsidR="00DE6194" w:rsidRPr="00DE6194" w:rsidRDefault="00DE6194" w:rsidP="00DE6194">
      <w:pPr>
        <w:pStyle w:val="MoEBodyText"/>
        <w:spacing w:after="0"/>
      </w:pPr>
    </w:p>
    <w:p w:rsidR="009D7B00" w:rsidRDefault="009D7B00" w:rsidP="00DE6194">
      <w:pPr>
        <w:contextualSpacing/>
        <w:jc w:val="both"/>
        <w:rPr>
          <w:rFonts w:ascii="Arial" w:hAnsi="Arial" w:cs="Arial"/>
          <w:sz w:val="22"/>
          <w:szCs w:val="22"/>
        </w:rPr>
      </w:pPr>
      <w:r w:rsidRPr="00BF7D8F">
        <w:rPr>
          <w:rFonts w:ascii="Arial" w:hAnsi="Arial" w:cs="Arial"/>
          <w:sz w:val="22"/>
          <w:szCs w:val="22"/>
        </w:rPr>
        <w:t>Overall, the broad expectation is that the school system is expected to:</w:t>
      </w:r>
    </w:p>
    <w:p w:rsidR="00DE6194" w:rsidRPr="00BF7D8F" w:rsidRDefault="00DE6194" w:rsidP="00DE6194">
      <w:pPr>
        <w:contextualSpacing/>
        <w:jc w:val="both"/>
        <w:rPr>
          <w:rFonts w:ascii="Arial" w:hAnsi="Arial" w:cs="Arial"/>
          <w:sz w:val="22"/>
          <w:szCs w:val="22"/>
        </w:rPr>
      </w:pPr>
    </w:p>
    <w:p w:rsidR="009D7B00" w:rsidRDefault="009D7B00" w:rsidP="00DE6194">
      <w:pPr>
        <w:pStyle w:val="MoEBodyText"/>
        <w:numPr>
          <w:ilvl w:val="0"/>
          <w:numId w:val="1"/>
        </w:numPr>
        <w:spacing w:after="0" w:line="240" w:lineRule="auto"/>
        <w:ind w:left="567" w:hanging="283"/>
        <w:jc w:val="both"/>
        <w:rPr>
          <w:rFonts w:cs="Arial"/>
          <w:sz w:val="22"/>
          <w:szCs w:val="22"/>
        </w:rPr>
      </w:pPr>
      <w:r>
        <w:rPr>
          <w:rFonts w:cs="Arial"/>
          <w:sz w:val="22"/>
          <w:szCs w:val="22"/>
        </w:rPr>
        <w:t xml:space="preserve">Help </w:t>
      </w:r>
      <w:r w:rsidRPr="00BF7D8F">
        <w:rPr>
          <w:rFonts w:cs="Arial"/>
          <w:sz w:val="22"/>
          <w:szCs w:val="22"/>
        </w:rPr>
        <w:t>prepare children</w:t>
      </w:r>
      <w:r>
        <w:rPr>
          <w:rFonts w:cs="Arial"/>
          <w:sz w:val="22"/>
          <w:szCs w:val="22"/>
        </w:rPr>
        <w:t xml:space="preserve"> and young people</w:t>
      </w:r>
      <w:r w:rsidR="00A42349">
        <w:rPr>
          <w:rFonts w:cs="Arial"/>
          <w:sz w:val="22"/>
          <w:szCs w:val="22"/>
        </w:rPr>
        <w:t xml:space="preserve"> to be confident, connected and actively involved</w:t>
      </w:r>
      <w:r w:rsidRPr="00BF7D8F">
        <w:rPr>
          <w:rFonts w:cs="Arial"/>
          <w:sz w:val="22"/>
          <w:szCs w:val="22"/>
        </w:rPr>
        <w:t xml:space="preserve"> lifelong learners, so that they can go on to realise their potential and participate successfully in society.</w:t>
      </w:r>
      <w:r w:rsidRPr="00BF7D8F">
        <w:rPr>
          <w:rStyle w:val="FootnoteReference"/>
          <w:rFonts w:cs="Arial"/>
          <w:sz w:val="22"/>
          <w:szCs w:val="22"/>
        </w:rPr>
        <w:footnoteReference w:id="1"/>
      </w:r>
      <w:r w:rsidRPr="00BF7D8F">
        <w:rPr>
          <w:rFonts w:cs="Arial"/>
          <w:sz w:val="22"/>
          <w:szCs w:val="22"/>
        </w:rPr>
        <w:t xml:space="preserve">  </w:t>
      </w:r>
    </w:p>
    <w:p w:rsidR="00344209" w:rsidRPr="00BF7D8F" w:rsidRDefault="00344209" w:rsidP="00344209">
      <w:pPr>
        <w:pStyle w:val="MoEBodyText"/>
        <w:spacing w:after="0" w:line="240" w:lineRule="auto"/>
        <w:ind w:left="567"/>
        <w:jc w:val="both"/>
        <w:rPr>
          <w:rFonts w:cs="Arial"/>
          <w:sz w:val="22"/>
          <w:szCs w:val="22"/>
        </w:rPr>
      </w:pPr>
    </w:p>
    <w:p w:rsidR="009D7B00" w:rsidRDefault="00344209" w:rsidP="00DE6194">
      <w:pPr>
        <w:pStyle w:val="MoEBodyText"/>
        <w:numPr>
          <w:ilvl w:val="0"/>
          <w:numId w:val="1"/>
        </w:numPr>
        <w:spacing w:after="0" w:line="240" w:lineRule="auto"/>
        <w:ind w:left="567" w:hanging="283"/>
        <w:jc w:val="both"/>
        <w:rPr>
          <w:rFonts w:cs="Arial"/>
          <w:sz w:val="22"/>
          <w:szCs w:val="22"/>
        </w:rPr>
      </w:pPr>
      <w:r>
        <w:rPr>
          <w:rFonts w:cs="Arial"/>
          <w:sz w:val="22"/>
          <w:szCs w:val="22"/>
        </w:rPr>
        <w:t>S</w:t>
      </w:r>
      <w:r w:rsidR="009D7B00" w:rsidRPr="00BF7D8F">
        <w:rPr>
          <w:rFonts w:cs="Arial"/>
          <w:sz w:val="22"/>
          <w:szCs w:val="22"/>
        </w:rPr>
        <w:t xml:space="preserve">upport the revitalisation of </w:t>
      </w:r>
      <w:proofErr w:type="gramStart"/>
      <w:r w:rsidR="009D7B00" w:rsidRPr="00BF7D8F">
        <w:rPr>
          <w:rFonts w:cs="Arial"/>
          <w:sz w:val="22"/>
          <w:szCs w:val="22"/>
        </w:rPr>
        <w:t>te</w:t>
      </w:r>
      <w:proofErr w:type="gramEnd"/>
      <w:r w:rsidR="009D7B00" w:rsidRPr="00BF7D8F">
        <w:rPr>
          <w:rFonts w:cs="Arial"/>
          <w:sz w:val="22"/>
          <w:szCs w:val="22"/>
        </w:rPr>
        <w:t xml:space="preserve"> reo Māori (where the curriculum is taught in</w:t>
      </w:r>
      <w:r w:rsidR="00A42349">
        <w:rPr>
          <w:rFonts w:cs="Arial"/>
          <w:sz w:val="22"/>
          <w:szCs w:val="22"/>
        </w:rPr>
        <w:t>,</w:t>
      </w:r>
      <w:r w:rsidR="009D7B00" w:rsidRPr="00BF7D8F">
        <w:rPr>
          <w:rFonts w:cs="Arial"/>
          <w:sz w:val="22"/>
          <w:szCs w:val="22"/>
        </w:rPr>
        <w:t xml:space="preserve"> and through</w:t>
      </w:r>
      <w:r w:rsidR="00A42349">
        <w:rPr>
          <w:rFonts w:cs="Arial"/>
          <w:sz w:val="22"/>
          <w:szCs w:val="22"/>
        </w:rPr>
        <w:t>,</w:t>
      </w:r>
      <w:r w:rsidR="009D7B00" w:rsidRPr="00BF7D8F">
        <w:rPr>
          <w:rFonts w:cs="Arial"/>
          <w:sz w:val="22"/>
          <w:szCs w:val="22"/>
        </w:rPr>
        <w:t xml:space="preserve"> te reo Māori)</w:t>
      </w:r>
      <w:r w:rsidR="009D7B00">
        <w:rPr>
          <w:rFonts w:cs="Arial"/>
          <w:sz w:val="22"/>
          <w:szCs w:val="22"/>
        </w:rPr>
        <w:t xml:space="preserve">; </w:t>
      </w:r>
      <w:r w:rsidR="009D7B00" w:rsidRPr="00BF7D8F">
        <w:rPr>
          <w:rFonts w:cs="Arial"/>
          <w:sz w:val="22"/>
          <w:szCs w:val="22"/>
        </w:rPr>
        <w:t>participation in, and exposure to, te reo Māori</w:t>
      </w:r>
      <w:r w:rsidR="009D7B00">
        <w:rPr>
          <w:rFonts w:cs="Arial"/>
          <w:sz w:val="22"/>
          <w:szCs w:val="22"/>
        </w:rPr>
        <w:t>; and support the educational achievement of children and young people learning within this context</w:t>
      </w:r>
      <w:r w:rsidR="009D7B00" w:rsidRPr="00BF7D8F">
        <w:rPr>
          <w:rFonts w:cs="Arial"/>
          <w:sz w:val="22"/>
          <w:szCs w:val="22"/>
        </w:rPr>
        <w:t>.</w:t>
      </w:r>
    </w:p>
    <w:p w:rsidR="00DE6194" w:rsidRPr="00BF7D8F" w:rsidRDefault="00DE6194" w:rsidP="00DE6194">
      <w:pPr>
        <w:pStyle w:val="MoEBodyText"/>
        <w:spacing w:after="0" w:line="240" w:lineRule="auto"/>
        <w:ind w:left="567"/>
        <w:jc w:val="both"/>
        <w:rPr>
          <w:rFonts w:cs="Arial"/>
          <w:sz w:val="22"/>
          <w:szCs w:val="22"/>
        </w:rPr>
      </w:pPr>
    </w:p>
    <w:p w:rsidR="005F62F8" w:rsidRDefault="00B124F8" w:rsidP="00B124F8">
      <w:pPr>
        <w:contextualSpacing/>
        <w:jc w:val="both"/>
        <w:rPr>
          <w:rFonts w:ascii="Arial" w:hAnsi="Arial" w:cs="Arial"/>
          <w:sz w:val="22"/>
          <w:szCs w:val="22"/>
        </w:rPr>
      </w:pPr>
      <w:r>
        <w:rPr>
          <w:rFonts w:ascii="Arial" w:hAnsi="Arial" w:cs="Arial"/>
          <w:sz w:val="22"/>
          <w:szCs w:val="22"/>
        </w:rPr>
        <w:t>The per-</w:t>
      </w:r>
      <w:r w:rsidR="00691082">
        <w:rPr>
          <w:rFonts w:ascii="Arial" w:hAnsi="Arial" w:cs="Arial"/>
          <w:sz w:val="22"/>
          <w:szCs w:val="22"/>
        </w:rPr>
        <w:t xml:space="preserve">child </w:t>
      </w:r>
      <w:r>
        <w:rPr>
          <w:rFonts w:ascii="Arial" w:hAnsi="Arial" w:cs="Arial"/>
          <w:sz w:val="22"/>
          <w:szCs w:val="22"/>
        </w:rPr>
        <w:t>funding amount is intended to provide in aggregate</w:t>
      </w:r>
      <w:r w:rsidR="00A42349">
        <w:rPr>
          <w:rFonts w:ascii="Arial" w:hAnsi="Arial" w:cs="Arial"/>
          <w:sz w:val="22"/>
          <w:szCs w:val="22"/>
        </w:rPr>
        <w:t>,</w:t>
      </w:r>
      <w:r>
        <w:rPr>
          <w:rFonts w:ascii="Arial" w:hAnsi="Arial" w:cs="Arial"/>
          <w:sz w:val="22"/>
          <w:szCs w:val="22"/>
        </w:rPr>
        <w:t xml:space="preserve"> sufficient funding for an effective school of reasonable size </w:t>
      </w:r>
      <w:r w:rsidRPr="00BF7D8F">
        <w:rPr>
          <w:rFonts w:ascii="Arial" w:hAnsi="Arial" w:cs="Arial"/>
          <w:sz w:val="22"/>
          <w:szCs w:val="22"/>
        </w:rPr>
        <w:t>to enable most children and young people to make expected progress at each stage of the curriculum</w:t>
      </w:r>
      <w:r w:rsidR="00A42349">
        <w:rPr>
          <w:rFonts w:ascii="Arial" w:hAnsi="Arial" w:cs="Arial"/>
          <w:sz w:val="22"/>
          <w:szCs w:val="22"/>
        </w:rPr>
        <w:t>,</w:t>
      </w:r>
      <w:r w:rsidRPr="00BF7D8F">
        <w:rPr>
          <w:rFonts w:ascii="Arial" w:hAnsi="Arial" w:cs="Arial"/>
          <w:sz w:val="22"/>
          <w:szCs w:val="22"/>
        </w:rPr>
        <w:t xml:space="preserve"> and to appropriately provide for student wellbeing. </w:t>
      </w:r>
      <w:r w:rsidR="005F62F8">
        <w:rPr>
          <w:rFonts w:ascii="Arial" w:hAnsi="Arial" w:cs="Arial"/>
          <w:sz w:val="22"/>
          <w:szCs w:val="22"/>
        </w:rPr>
        <w:t xml:space="preserve">As </w:t>
      </w:r>
      <w:r w:rsidR="00532F22">
        <w:rPr>
          <w:rFonts w:ascii="Arial" w:hAnsi="Arial" w:cs="Arial"/>
          <w:sz w:val="22"/>
          <w:szCs w:val="22"/>
        </w:rPr>
        <w:t>C</w:t>
      </w:r>
      <w:r w:rsidR="005F62F8">
        <w:rPr>
          <w:rFonts w:ascii="Arial" w:hAnsi="Arial" w:cs="Arial"/>
          <w:sz w:val="22"/>
          <w:szCs w:val="22"/>
        </w:rPr>
        <w:t xml:space="preserve">ommunities of </w:t>
      </w:r>
      <w:r w:rsidR="00532F22">
        <w:rPr>
          <w:rFonts w:ascii="Arial" w:hAnsi="Arial" w:cs="Arial"/>
          <w:sz w:val="22"/>
          <w:szCs w:val="22"/>
        </w:rPr>
        <w:t>L</w:t>
      </w:r>
      <w:r w:rsidR="005F62F8">
        <w:rPr>
          <w:rFonts w:ascii="Arial" w:hAnsi="Arial" w:cs="Arial"/>
          <w:sz w:val="22"/>
          <w:szCs w:val="22"/>
        </w:rPr>
        <w:t xml:space="preserve">earning become more established, in most cases effective schools would be supported by the expertise within its </w:t>
      </w:r>
      <w:r w:rsidR="00532F22">
        <w:rPr>
          <w:rFonts w:ascii="Arial" w:hAnsi="Arial" w:cs="Arial"/>
          <w:sz w:val="22"/>
          <w:szCs w:val="22"/>
        </w:rPr>
        <w:t>C</w:t>
      </w:r>
      <w:r w:rsidR="005F62F8">
        <w:rPr>
          <w:rFonts w:ascii="Arial" w:hAnsi="Arial" w:cs="Arial"/>
          <w:sz w:val="22"/>
          <w:szCs w:val="22"/>
        </w:rPr>
        <w:t xml:space="preserve">ommunity of </w:t>
      </w:r>
      <w:r w:rsidR="00532F22">
        <w:rPr>
          <w:rFonts w:ascii="Arial" w:hAnsi="Arial" w:cs="Arial"/>
          <w:sz w:val="22"/>
          <w:szCs w:val="22"/>
        </w:rPr>
        <w:t>L</w:t>
      </w:r>
      <w:r w:rsidR="005F62F8">
        <w:rPr>
          <w:rFonts w:ascii="Arial" w:hAnsi="Arial" w:cs="Arial"/>
          <w:sz w:val="22"/>
          <w:szCs w:val="22"/>
        </w:rPr>
        <w:t>earning and would potentially be able to leverage economies through shar</w:t>
      </w:r>
      <w:r w:rsidR="00691082">
        <w:rPr>
          <w:rFonts w:ascii="Arial" w:hAnsi="Arial" w:cs="Arial"/>
          <w:sz w:val="22"/>
          <w:szCs w:val="22"/>
        </w:rPr>
        <w:t>ing or combining resources</w:t>
      </w:r>
      <w:r w:rsidR="005F62F8">
        <w:rPr>
          <w:rFonts w:ascii="Arial" w:hAnsi="Arial" w:cs="Arial"/>
          <w:sz w:val="22"/>
          <w:szCs w:val="22"/>
        </w:rPr>
        <w:t xml:space="preserve">.  </w:t>
      </w:r>
    </w:p>
    <w:p w:rsidR="005F62F8" w:rsidRDefault="005F62F8" w:rsidP="00B124F8">
      <w:pPr>
        <w:contextualSpacing/>
        <w:jc w:val="both"/>
        <w:rPr>
          <w:rFonts w:ascii="Arial" w:hAnsi="Arial" w:cs="Arial"/>
          <w:sz w:val="22"/>
          <w:szCs w:val="22"/>
        </w:rPr>
      </w:pPr>
    </w:p>
    <w:p w:rsidR="00B124F8" w:rsidRDefault="00B124F8" w:rsidP="00B124F8">
      <w:pPr>
        <w:contextualSpacing/>
        <w:jc w:val="both"/>
        <w:rPr>
          <w:rFonts w:ascii="Arial" w:hAnsi="Arial" w:cs="Arial"/>
          <w:sz w:val="22"/>
          <w:szCs w:val="22"/>
        </w:rPr>
      </w:pPr>
      <w:r w:rsidRPr="00BF7D8F">
        <w:rPr>
          <w:rFonts w:ascii="Arial" w:hAnsi="Arial" w:cs="Arial"/>
          <w:sz w:val="22"/>
          <w:szCs w:val="22"/>
        </w:rPr>
        <w:t xml:space="preserve">Within </w:t>
      </w:r>
      <w:r w:rsidR="005F62F8">
        <w:rPr>
          <w:rFonts w:ascii="Arial" w:hAnsi="Arial" w:cs="Arial"/>
          <w:sz w:val="22"/>
          <w:szCs w:val="22"/>
        </w:rPr>
        <w:t>the per</w:t>
      </w:r>
      <w:r w:rsidR="00532F22">
        <w:rPr>
          <w:rFonts w:ascii="Arial" w:hAnsi="Arial" w:cs="Arial"/>
          <w:sz w:val="22"/>
          <w:szCs w:val="22"/>
        </w:rPr>
        <w:t>-</w:t>
      </w:r>
      <w:r w:rsidR="00691082">
        <w:rPr>
          <w:rFonts w:ascii="Arial" w:hAnsi="Arial" w:cs="Arial"/>
          <w:sz w:val="22"/>
          <w:szCs w:val="22"/>
        </w:rPr>
        <w:t>child</w:t>
      </w:r>
      <w:r w:rsidR="005F62F8" w:rsidRPr="00BF7D8F">
        <w:rPr>
          <w:rFonts w:ascii="Arial" w:hAnsi="Arial" w:cs="Arial"/>
          <w:sz w:val="22"/>
          <w:szCs w:val="22"/>
        </w:rPr>
        <w:t xml:space="preserve"> </w:t>
      </w:r>
      <w:r w:rsidRPr="00BF7D8F">
        <w:rPr>
          <w:rFonts w:ascii="Arial" w:hAnsi="Arial" w:cs="Arial"/>
          <w:sz w:val="22"/>
          <w:szCs w:val="22"/>
        </w:rPr>
        <w:t xml:space="preserve">funding amount, schools would be expected to manage reasonable variability in </w:t>
      </w:r>
      <w:r w:rsidR="00691082">
        <w:rPr>
          <w:rFonts w:ascii="Arial" w:hAnsi="Arial" w:cs="Arial"/>
          <w:sz w:val="22"/>
          <w:szCs w:val="22"/>
        </w:rPr>
        <w:t>a child or young person’s</w:t>
      </w:r>
      <w:r w:rsidR="00691082" w:rsidRPr="00BF7D8F">
        <w:rPr>
          <w:rFonts w:ascii="Arial" w:hAnsi="Arial" w:cs="Arial"/>
          <w:sz w:val="22"/>
          <w:szCs w:val="22"/>
        </w:rPr>
        <w:t xml:space="preserve"> </w:t>
      </w:r>
      <w:r w:rsidRPr="00BF7D8F">
        <w:rPr>
          <w:rFonts w:ascii="Arial" w:hAnsi="Arial" w:cs="Arial"/>
          <w:sz w:val="22"/>
          <w:szCs w:val="22"/>
        </w:rPr>
        <w:t xml:space="preserve">learning and needs. </w:t>
      </w:r>
      <w:r w:rsidR="0000267B">
        <w:rPr>
          <w:rFonts w:cs="Arial"/>
          <w:sz w:val="22"/>
          <w:szCs w:val="22"/>
        </w:rPr>
        <w:t xml:space="preserve">It is envisaged that schools would continue to have </w:t>
      </w:r>
      <w:r w:rsidR="0000267B">
        <w:rPr>
          <w:rFonts w:cs="Arial"/>
          <w:sz w:val="22"/>
          <w:szCs w:val="22"/>
        </w:rPr>
        <w:lastRenderedPageBreak/>
        <w:t xml:space="preserve">flexibility in how they can use funding, including shifting funding across year levels where they consider </w:t>
      </w:r>
      <w:r w:rsidR="00A42349">
        <w:rPr>
          <w:rFonts w:cs="Arial"/>
          <w:sz w:val="22"/>
          <w:szCs w:val="22"/>
        </w:rPr>
        <w:t xml:space="preserve">that </w:t>
      </w:r>
      <w:r w:rsidR="0000267B">
        <w:rPr>
          <w:rFonts w:cs="Arial"/>
          <w:sz w:val="22"/>
          <w:szCs w:val="22"/>
        </w:rPr>
        <w:t>this would more effectively support learning outcomes</w:t>
      </w:r>
      <w:r w:rsidR="00F47EEE">
        <w:rPr>
          <w:rFonts w:cs="Arial"/>
          <w:sz w:val="22"/>
          <w:szCs w:val="22"/>
        </w:rPr>
        <w:t>.</w:t>
      </w:r>
    </w:p>
    <w:p w:rsidR="00B124F8" w:rsidRDefault="00B124F8" w:rsidP="00B124F8">
      <w:pPr>
        <w:contextualSpacing/>
        <w:jc w:val="both"/>
        <w:rPr>
          <w:rFonts w:ascii="Arial" w:hAnsi="Arial" w:cs="Arial"/>
          <w:sz w:val="22"/>
          <w:szCs w:val="22"/>
        </w:rPr>
      </w:pPr>
    </w:p>
    <w:p w:rsidR="00B124F8" w:rsidRDefault="00B124F8" w:rsidP="00B124F8">
      <w:pPr>
        <w:contextualSpacing/>
        <w:jc w:val="both"/>
        <w:rPr>
          <w:rFonts w:ascii="Arial" w:hAnsi="Arial" w:cs="Arial"/>
          <w:sz w:val="22"/>
          <w:szCs w:val="22"/>
        </w:rPr>
      </w:pPr>
      <w:r w:rsidRPr="00BF7D8F">
        <w:rPr>
          <w:rFonts w:ascii="Arial" w:hAnsi="Arial" w:cs="Arial"/>
          <w:sz w:val="22"/>
          <w:szCs w:val="22"/>
        </w:rPr>
        <w:t xml:space="preserve">Specific additional funding would, however, be provided for those </w:t>
      </w:r>
      <w:r w:rsidR="00691082">
        <w:rPr>
          <w:rFonts w:ascii="Arial" w:hAnsi="Arial" w:cs="Arial"/>
          <w:sz w:val="22"/>
          <w:szCs w:val="22"/>
        </w:rPr>
        <w:t>children and young people</w:t>
      </w:r>
      <w:r w:rsidR="00691082" w:rsidRPr="00BF7D8F">
        <w:rPr>
          <w:rFonts w:ascii="Arial" w:hAnsi="Arial" w:cs="Arial"/>
          <w:sz w:val="22"/>
          <w:szCs w:val="22"/>
        </w:rPr>
        <w:t xml:space="preserve"> </w:t>
      </w:r>
      <w:r w:rsidRPr="00BF7D8F">
        <w:rPr>
          <w:rFonts w:ascii="Arial" w:hAnsi="Arial" w:cs="Arial"/>
          <w:sz w:val="22"/>
          <w:szCs w:val="22"/>
        </w:rPr>
        <w:t xml:space="preserve">who are </w:t>
      </w:r>
      <w:r w:rsidR="00A42349">
        <w:rPr>
          <w:rFonts w:ascii="Arial" w:hAnsi="Arial" w:cs="Arial"/>
          <w:sz w:val="22"/>
          <w:szCs w:val="22"/>
        </w:rPr>
        <w:t xml:space="preserve">most </w:t>
      </w:r>
      <w:r w:rsidRPr="00BF7D8F">
        <w:rPr>
          <w:rFonts w:ascii="Arial" w:hAnsi="Arial" w:cs="Arial"/>
          <w:sz w:val="22"/>
          <w:szCs w:val="22"/>
        </w:rPr>
        <w:t xml:space="preserve">at risk </w:t>
      </w:r>
      <w:r>
        <w:rPr>
          <w:rFonts w:ascii="Arial" w:hAnsi="Arial" w:cs="Arial"/>
          <w:sz w:val="22"/>
          <w:szCs w:val="22"/>
        </w:rPr>
        <w:t>of educational underachievement</w:t>
      </w:r>
      <w:r w:rsidRPr="00BF7D8F">
        <w:rPr>
          <w:rFonts w:ascii="Arial" w:hAnsi="Arial" w:cs="Arial"/>
          <w:sz w:val="22"/>
          <w:szCs w:val="22"/>
        </w:rPr>
        <w:t xml:space="preserve">, and </w:t>
      </w:r>
      <w:r>
        <w:rPr>
          <w:rFonts w:ascii="Arial" w:hAnsi="Arial" w:cs="Arial"/>
          <w:sz w:val="22"/>
          <w:szCs w:val="22"/>
        </w:rPr>
        <w:t xml:space="preserve">to provide learning support (special education services) </w:t>
      </w:r>
      <w:r w:rsidR="006074D5">
        <w:rPr>
          <w:rFonts w:ascii="Arial" w:hAnsi="Arial" w:cs="Arial"/>
          <w:sz w:val="22"/>
          <w:szCs w:val="22"/>
        </w:rPr>
        <w:t>and</w:t>
      </w:r>
      <w:r>
        <w:rPr>
          <w:rFonts w:ascii="Arial" w:hAnsi="Arial" w:cs="Arial"/>
          <w:sz w:val="22"/>
          <w:szCs w:val="22"/>
        </w:rPr>
        <w:t xml:space="preserve"> a range of specialised services to individual children and young people</w:t>
      </w:r>
      <w:r w:rsidRPr="00BF7D8F">
        <w:rPr>
          <w:rFonts w:ascii="Arial" w:hAnsi="Arial" w:cs="Arial"/>
          <w:sz w:val="22"/>
          <w:szCs w:val="22"/>
        </w:rPr>
        <w:t xml:space="preserve">. </w:t>
      </w:r>
    </w:p>
    <w:p w:rsidR="0000267B" w:rsidRDefault="0000267B" w:rsidP="0000267B">
      <w:pPr>
        <w:contextualSpacing/>
        <w:jc w:val="both"/>
        <w:rPr>
          <w:rFonts w:ascii="Arial" w:hAnsi="Arial" w:cs="Arial"/>
          <w:sz w:val="22"/>
          <w:szCs w:val="22"/>
        </w:rPr>
      </w:pPr>
    </w:p>
    <w:p w:rsidR="0000267B" w:rsidRDefault="002D231E" w:rsidP="00B124F8">
      <w:pPr>
        <w:contextualSpacing/>
        <w:jc w:val="both"/>
        <w:rPr>
          <w:rFonts w:ascii="Arial" w:hAnsi="Arial" w:cs="Arial"/>
          <w:sz w:val="22"/>
          <w:szCs w:val="22"/>
        </w:rPr>
      </w:pPr>
      <w:r>
        <w:rPr>
          <w:rFonts w:ascii="Arial" w:hAnsi="Arial" w:cs="Arial"/>
          <w:sz w:val="22"/>
          <w:szCs w:val="22"/>
        </w:rPr>
        <w:t xml:space="preserve">We are not </w:t>
      </w:r>
      <w:r w:rsidR="006A0311">
        <w:rPr>
          <w:rFonts w:ascii="Arial" w:hAnsi="Arial" w:cs="Arial"/>
          <w:sz w:val="22"/>
          <w:szCs w:val="22"/>
        </w:rPr>
        <w:t xml:space="preserve">currently </w:t>
      </w:r>
      <w:r>
        <w:rPr>
          <w:rFonts w:ascii="Arial" w:hAnsi="Arial" w:cs="Arial"/>
          <w:sz w:val="22"/>
          <w:szCs w:val="22"/>
        </w:rPr>
        <w:t xml:space="preserve">in a position to provide a definite answer about the </w:t>
      </w:r>
      <w:r w:rsidR="006A0311">
        <w:rPr>
          <w:rFonts w:ascii="Arial" w:hAnsi="Arial" w:cs="Arial"/>
          <w:sz w:val="22"/>
          <w:szCs w:val="22"/>
        </w:rPr>
        <w:t xml:space="preserve">proposed </w:t>
      </w:r>
      <w:r>
        <w:rPr>
          <w:rFonts w:ascii="Arial" w:hAnsi="Arial" w:cs="Arial"/>
          <w:sz w:val="22"/>
          <w:szCs w:val="22"/>
        </w:rPr>
        <w:t xml:space="preserve">level of </w:t>
      </w:r>
      <w:proofErr w:type="gramStart"/>
      <w:r w:rsidR="00532F22">
        <w:rPr>
          <w:rFonts w:ascii="Arial" w:hAnsi="Arial" w:cs="Arial"/>
          <w:sz w:val="22"/>
          <w:szCs w:val="22"/>
        </w:rPr>
        <w:t xml:space="preserve">the </w:t>
      </w:r>
      <w:r w:rsidR="006A0311">
        <w:rPr>
          <w:rFonts w:ascii="Arial" w:hAnsi="Arial" w:cs="Arial"/>
          <w:sz w:val="22"/>
          <w:szCs w:val="22"/>
        </w:rPr>
        <w:t>per</w:t>
      </w:r>
      <w:proofErr w:type="gramEnd"/>
      <w:r w:rsidR="00532F22">
        <w:rPr>
          <w:rFonts w:ascii="Arial" w:hAnsi="Arial" w:cs="Arial"/>
          <w:sz w:val="22"/>
          <w:szCs w:val="22"/>
        </w:rPr>
        <w:t>-</w:t>
      </w:r>
      <w:r w:rsidR="006A0311">
        <w:rPr>
          <w:rFonts w:ascii="Arial" w:hAnsi="Arial" w:cs="Arial"/>
          <w:sz w:val="22"/>
          <w:szCs w:val="22"/>
        </w:rPr>
        <w:t xml:space="preserve"> </w:t>
      </w:r>
      <w:r w:rsidR="00691082">
        <w:rPr>
          <w:rFonts w:ascii="Arial" w:hAnsi="Arial" w:cs="Arial"/>
          <w:sz w:val="22"/>
          <w:szCs w:val="22"/>
        </w:rPr>
        <w:t xml:space="preserve">child </w:t>
      </w:r>
      <w:r>
        <w:rPr>
          <w:rFonts w:ascii="Arial" w:hAnsi="Arial" w:cs="Arial"/>
          <w:sz w:val="22"/>
          <w:szCs w:val="22"/>
        </w:rPr>
        <w:t>funding</w:t>
      </w:r>
      <w:r w:rsidR="006A0311">
        <w:rPr>
          <w:rFonts w:ascii="Arial" w:hAnsi="Arial" w:cs="Arial"/>
          <w:sz w:val="22"/>
          <w:szCs w:val="22"/>
        </w:rPr>
        <w:t xml:space="preserve"> amount</w:t>
      </w:r>
      <w:r>
        <w:rPr>
          <w:rFonts w:ascii="Arial" w:hAnsi="Arial" w:cs="Arial"/>
          <w:sz w:val="22"/>
          <w:szCs w:val="22"/>
        </w:rPr>
        <w:t>. Over time</w:t>
      </w:r>
      <w:r w:rsidR="00A42349">
        <w:rPr>
          <w:rFonts w:ascii="Arial" w:hAnsi="Arial" w:cs="Arial"/>
          <w:sz w:val="22"/>
          <w:szCs w:val="22"/>
        </w:rPr>
        <w:t>,</w:t>
      </w:r>
      <w:r>
        <w:rPr>
          <w:rFonts w:ascii="Arial" w:hAnsi="Arial" w:cs="Arial"/>
          <w:sz w:val="22"/>
          <w:szCs w:val="22"/>
        </w:rPr>
        <w:t xml:space="preserve"> there is an opportunity to develop a more robust understanding of this amount through t</w:t>
      </w:r>
      <w:r w:rsidR="007B3A32">
        <w:rPr>
          <w:rFonts w:ascii="Arial" w:hAnsi="Arial" w:cs="Arial"/>
          <w:sz w:val="22"/>
          <w:szCs w:val="22"/>
        </w:rPr>
        <w:t xml:space="preserve">he use of techniques that objectively identify schools that are achieving specific educational outcomes at </w:t>
      </w:r>
      <w:r w:rsidR="00C925A9">
        <w:rPr>
          <w:rFonts w:ascii="Arial" w:hAnsi="Arial" w:cs="Arial"/>
          <w:sz w:val="22"/>
          <w:szCs w:val="22"/>
        </w:rPr>
        <w:t xml:space="preserve">reasonable </w:t>
      </w:r>
      <w:r w:rsidR="007B3A32">
        <w:rPr>
          <w:rFonts w:ascii="Arial" w:hAnsi="Arial" w:cs="Arial"/>
          <w:sz w:val="22"/>
          <w:szCs w:val="22"/>
        </w:rPr>
        <w:t>cost, and analysing their particular circumstances, overall funding situation and practices.</w:t>
      </w:r>
      <w:r w:rsidR="007B3A32">
        <w:rPr>
          <w:rStyle w:val="FootnoteReference"/>
          <w:rFonts w:ascii="Arial" w:hAnsi="Arial" w:cs="Arial"/>
          <w:sz w:val="22"/>
          <w:szCs w:val="22"/>
        </w:rPr>
        <w:footnoteReference w:id="2"/>
      </w:r>
      <w:r w:rsidR="007B3A32">
        <w:rPr>
          <w:rFonts w:ascii="Arial" w:hAnsi="Arial" w:cs="Arial"/>
          <w:sz w:val="22"/>
          <w:szCs w:val="22"/>
        </w:rPr>
        <w:t xml:space="preserve">  </w:t>
      </w:r>
    </w:p>
    <w:p w:rsidR="0000267B" w:rsidRDefault="0000267B" w:rsidP="00B124F8">
      <w:pPr>
        <w:contextualSpacing/>
        <w:jc w:val="both"/>
        <w:rPr>
          <w:rFonts w:ascii="Arial" w:hAnsi="Arial" w:cs="Arial"/>
          <w:sz w:val="22"/>
          <w:szCs w:val="22"/>
        </w:rPr>
      </w:pPr>
    </w:p>
    <w:p w:rsidR="009D7B00" w:rsidRPr="00DE6194" w:rsidRDefault="009D7B00" w:rsidP="00DE6194">
      <w:pPr>
        <w:pStyle w:val="MoEHeading3"/>
        <w:spacing w:before="0" w:after="0" w:line="240" w:lineRule="auto"/>
        <w:jc w:val="both"/>
        <w:rPr>
          <w:rFonts w:cs="Arial"/>
          <w:color w:val="0070C0"/>
          <w:sz w:val="24"/>
        </w:rPr>
      </w:pPr>
      <w:r w:rsidRPr="00DE6194">
        <w:rPr>
          <w:rFonts w:cs="Arial"/>
          <w:color w:val="0070C0"/>
          <w:sz w:val="24"/>
        </w:rPr>
        <w:t>The current pattern of funding</w:t>
      </w:r>
    </w:p>
    <w:p w:rsidR="00DE6194" w:rsidRPr="00DE6194" w:rsidRDefault="00DE6194" w:rsidP="00DE6194">
      <w:pPr>
        <w:pStyle w:val="MoEBodyText"/>
        <w:spacing w:after="0"/>
      </w:pPr>
    </w:p>
    <w:p w:rsidR="0000267B" w:rsidRDefault="009D7B00" w:rsidP="00DE6194">
      <w:pPr>
        <w:pStyle w:val="MoEBodyText"/>
        <w:spacing w:after="0" w:line="240" w:lineRule="auto"/>
        <w:jc w:val="both"/>
        <w:rPr>
          <w:rFonts w:cs="Arial"/>
          <w:sz w:val="22"/>
          <w:szCs w:val="22"/>
        </w:rPr>
      </w:pPr>
      <w:r w:rsidRPr="00BF7D8F">
        <w:rPr>
          <w:rFonts w:cs="Arial"/>
          <w:sz w:val="22"/>
          <w:szCs w:val="22"/>
        </w:rPr>
        <w:t xml:space="preserve">The current pattern of funding across year levels and the </w:t>
      </w:r>
      <w:r w:rsidR="006074D5">
        <w:rPr>
          <w:rFonts w:cs="Arial"/>
          <w:sz w:val="22"/>
          <w:szCs w:val="22"/>
        </w:rPr>
        <w:t>additional funding</w:t>
      </w:r>
      <w:r w:rsidRPr="00BF7D8F">
        <w:rPr>
          <w:rFonts w:cs="Arial"/>
          <w:sz w:val="22"/>
          <w:szCs w:val="22"/>
        </w:rPr>
        <w:t xml:space="preserve"> for </w:t>
      </w:r>
      <w:r w:rsidR="00691082">
        <w:rPr>
          <w:rFonts w:cs="Arial"/>
          <w:sz w:val="22"/>
          <w:szCs w:val="22"/>
        </w:rPr>
        <w:t>children and young people</w:t>
      </w:r>
      <w:r w:rsidR="00691082" w:rsidRPr="00BF7D8F">
        <w:rPr>
          <w:rFonts w:cs="Arial"/>
          <w:sz w:val="22"/>
          <w:szCs w:val="22"/>
        </w:rPr>
        <w:t xml:space="preserve"> </w:t>
      </w:r>
      <w:r w:rsidRPr="00BF7D8F">
        <w:rPr>
          <w:rFonts w:cs="Arial"/>
          <w:sz w:val="22"/>
          <w:szCs w:val="22"/>
        </w:rPr>
        <w:t>learning in</w:t>
      </w:r>
      <w:r w:rsidR="008D4580">
        <w:rPr>
          <w:rFonts w:cs="Arial"/>
          <w:sz w:val="22"/>
          <w:szCs w:val="22"/>
        </w:rPr>
        <w:t>,</w:t>
      </w:r>
      <w:r w:rsidRPr="00BF7D8F">
        <w:rPr>
          <w:rFonts w:cs="Arial"/>
          <w:sz w:val="22"/>
          <w:szCs w:val="22"/>
        </w:rPr>
        <w:t xml:space="preserve"> and through</w:t>
      </w:r>
      <w:r w:rsidR="008D4580">
        <w:rPr>
          <w:rFonts w:cs="Arial"/>
          <w:sz w:val="22"/>
          <w:szCs w:val="22"/>
        </w:rPr>
        <w:t>,</w:t>
      </w:r>
      <w:r w:rsidRPr="00BF7D8F">
        <w:rPr>
          <w:rFonts w:cs="Arial"/>
          <w:sz w:val="22"/>
          <w:szCs w:val="22"/>
        </w:rPr>
        <w:t xml:space="preserve"> </w:t>
      </w:r>
      <w:proofErr w:type="gramStart"/>
      <w:r w:rsidRPr="00BF7D8F">
        <w:rPr>
          <w:rFonts w:cs="Arial"/>
          <w:sz w:val="22"/>
          <w:szCs w:val="22"/>
        </w:rPr>
        <w:t>te</w:t>
      </w:r>
      <w:proofErr w:type="gramEnd"/>
      <w:r w:rsidRPr="00BF7D8F">
        <w:rPr>
          <w:rFonts w:cs="Arial"/>
          <w:sz w:val="22"/>
          <w:szCs w:val="22"/>
        </w:rPr>
        <w:t xml:space="preserve"> reo </w:t>
      </w:r>
      <w:r w:rsidR="00481022">
        <w:rPr>
          <w:rFonts w:cs="Arial"/>
          <w:sz w:val="22"/>
          <w:szCs w:val="22"/>
        </w:rPr>
        <w:t xml:space="preserve">Māori </w:t>
      </w:r>
      <w:r w:rsidRPr="00BF7D8F">
        <w:rPr>
          <w:rFonts w:cs="Arial"/>
          <w:sz w:val="22"/>
          <w:szCs w:val="22"/>
        </w:rPr>
        <w:t xml:space="preserve">is the outcome of incremental decisions made over time. </w:t>
      </w:r>
      <w:r w:rsidR="0000267B">
        <w:rPr>
          <w:rFonts w:cs="Arial"/>
          <w:sz w:val="22"/>
          <w:szCs w:val="22"/>
        </w:rPr>
        <w:t xml:space="preserve">The current pattern of funding across year levels materially affects the total </w:t>
      </w:r>
      <w:r w:rsidR="0000267B" w:rsidRPr="00BF7D8F">
        <w:rPr>
          <w:rFonts w:cs="Arial"/>
          <w:sz w:val="22"/>
          <w:szCs w:val="22"/>
        </w:rPr>
        <w:t xml:space="preserve">funding received by </w:t>
      </w:r>
      <w:r w:rsidR="0000267B">
        <w:rPr>
          <w:rFonts w:cs="Arial"/>
          <w:sz w:val="22"/>
          <w:szCs w:val="22"/>
        </w:rPr>
        <w:t>different types of</w:t>
      </w:r>
      <w:r w:rsidR="0000267B" w:rsidRPr="00BF7D8F">
        <w:rPr>
          <w:rFonts w:cs="Arial"/>
          <w:sz w:val="22"/>
          <w:szCs w:val="22"/>
        </w:rPr>
        <w:t xml:space="preserve"> schools</w:t>
      </w:r>
      <w:r w:rsidR="0000267B">
        <w:rPr>
          <w:rFonts w:cs="Arial"/>
          <w:sz w:val="22"/>
          <w:szCs w:val="22"/>
        </w:rPr>
        <w:t xml:space="preserve">, for example a primary school compared to a secondary school with a similar roll size.  It can also affect the total funding received by schools of the same type and roll size, but with a different distribution of </w:t>
      </w:r>
      <w:r w:rsidR="00691082">
        <w:rPr>
          <w:rFonts w:cs="Arial"/>
          <w:sz w:val="22"/>
          <w:szCs w:val="22"/>
        </w:rPr>
        <w:t xml:space="preserve">children and young people </w:t>
      </w:r>
      <w:r w:rsidR="0000267B">
        <w:rPr>
          <w:rFonts w:cs="Arial"/>
          <w:sz w:val="22"/>
          <w:szCs w:val="22"/>
        </w:rPr>
        <w:t>across year levels.</w:t>
      </w:r>
    </w:p>
    <w:p w:rsidR="0000267B" w:rsidRDefault="0000267B" w:rsidP="00DE6194">
      <w:pPr>
        <w:pStyle w:val="MoEBodyText"/>
        <w:spacing w:after="0" w:line="240" w:lineRule="auto"/>
        <w:jc w:val="both"/>
        <w:rPr>
          <w:rFonts w:cs="Arial"/>
          <w:sz w:val="22"/>
          <w:szCs w:val="22"/>
        </w:rPr>
      </w:pPr>
    </w:p>
    <w:p w:rsidR="009D7B00" w:rsidRDefault="009D7B00" w:rsidP="00DE6194">
      <w:pPr>
        <w:pStyle w:val="MoEBodyText"/>
        <w:spacing w:after="0" w:line="240" w:lineRule="auto"/>
        <w:jc w:val="both"/>
        <w:rPr>
          <w:rFonts w:cs="Arial"/>
          <w:sz w:val="22"/>
          <w:szCs w:val="22"/>
        </w:rPr>
      </w:pPr>
      <w:r w:rsidRPr="00BF7D8F">
        <w:rPr>
          <w:rFonts w:cs="Arial"/>
          <w:sz w:val="22"/>
          <w:szCs w:val="22"/>
        </w:rPr>
        <w:t xml:space="preserve">Some of the themes which have driven the current pattern of funding include: </w:t>
      </w:r>
    </w:p>
    <w:p w:rsidR="00DE6194" w:rsidRPr="00BF7D8F" w:rsidRDefault="00DE6194" w:rsidP="00DE6194">
      <w:pPr>
        <w:pStyle w:val="MoEBodyText"/>
        <w:spacing w:after="0" w:line="240" w:lineRule="auto"/>
        <w:jc w:val="both"/>
        <w:rPr>
          <w:rFonts w:cs="Arial"/>
          <w:sz w:val="22"/>
          <w:szCs w:val="22"/>
        </w:rPr>
      </w:pPr>
    </w:p>
    <w:p w:rsidR="009D7B00" w:rsidRPr="00DE6194" w:rsidRDefault="009D7B00" w:rsidP="00DE6194">
      <w:pPr>
        <w:pStyle w:val="MoEBodyText"/>
        <w:numPr>
          <w:ilvl w:val="0"/>
          <w:numId w:val="2"/>
        </w:numPr>
        <w:spacing w:after="0" w:line="240" w:lineRule="auto"/>
        <w:ind w:left="567" w:hanging="283"/>
        <w:jc w:val="both"/>
        <w:rPr>
          <w:rFonts w:eastAsia="Times New Roman" w:cs="Arial"/>
          <w:sz w:val="22"/>
          <w:szCs w:val="22"/>
        </w:rPr>
      </w:pPr>
      <w:r w:rsidRPr="00BF7D8F">
        <w:rPr>
          <w:rFonts w:cs="Arial"/>
          <w:sz w:val="22"/>
          <w:szCs w:val="22"/>
        </w:rPr>
        <w:t>support for early acquisition of literacy and numeracy skills</w:t>
      </w:r>
    </w:p>
    <w:p w:rsidR="00DE6194" w:rsidRPr="00BF7D8F" w:rsidRDefault="00DE6194" w:rsidP="00DE6194">
      <w:pPr>
        <w:pStyle w:val="MoEBodyText"/>
        <w:spacing w:after="0" w:line="240" w:lineRule="auto"/>
        <w:ind w:left="567"/>
        <w:jc w:val="both"/>
        <w:rPr>
          <w:rFonts w:eastAsia="Times New Roman" w:cs="Arial"/>
          <w:sz w:val="22"/>
          <w:szCs w:val="22"/>
        </w:rPr>
      </w:pPr>
    </w:p>
    <w:p w:rsidR="009D7B00" w:rsidRDefault="009D7B00" w:rsidP="00DE6194">
      <w:pPr>
        <w:pStyle w:val="MoEBodyText"/>
        <w:numPr>
          <w:ilvl w:val="0"/>
          <w:numId w:val="2"/>
        </w:numPr>
        <w:spacing w:after="0" w:line="240" w:lineRule="auto"/>
        <w:ind w:left="567" w:hanging="283"/>
        <w:jc w:val="both"/>
        <w:rPr>
          <w:rFonts w:eastAsia="Times New Roman" w:cs="Arial"/>
          <w:sz w:val="22"/>
          <w:szCs w:val="22"/>
        </w:rPr>
      </w:pPr>
      <w:r w:rsidRPr="00BF7D8F">
        <w:rPr>
          <w:rFonts w:cs="Arial"/>
          <w:sz w:val="22"/>
          <w:szCs w:val="22"/>
        </w:rPr>
        <w:t xml:space="preserve">provision of a broad </w:t>
      </w:r>
      <w:r w:rsidRPr="00BF7D8F">
        <w:rPr>
          <w:rFonts w:eastAsia="Times New Roman" w:cs="Arial"/>
          <w:sz w:val="22"/>
          <w:szCs w:val="22"/>
        </w:rPr>
        <w:t>curriculum, with specialisation later in secondary schooling, including opportunities for experiential and vocational learning</w:t>
      </w:r>
    </w:p>
    <w:p w:rsidR="00DE6194" w:rsidRPr="00BF7D8F" w:rsidRDefault="00DE6194" w:rsidP="00DE6194">
      <w:pPr>
        <w:pStyle w:val="MoEBodyText"/>
        <w:spacing w:after="0" w:line="240" w:lineRule="auto"/>
        <w:jc w:val="both"/>
        <w:rPr>
          <w:rFonts w:eastAsia="Times New Roman" w:cs="Arial"/>
          <w:sz w:val="22"/>
          <w:szCs w:val="22"/>
        </w:rPr>
      </w:pPr>
    </w:p>
    <w:p w:rsidR="009D7B00" w:rsidRDefault="009D7B00" w:rsidP="00DE6194">
      <w:pPr>
        <w:pStyle w:val="MoEBodyText"/>
        <w:numPr>
          <w:ilvl w:val="0"/>
          <w:numId w:val="2"/>
        </w:numPr>
        <w:spacing w:after="0" w:line="240" w:lineRule="auto"/>
        <w:ind w:left="567" w:hanging="283"/>
        <w:jc w:val="both"/>
        <w:rPr>
          <w:rFonts w:eastAsia="Times New Roman" w:cs="Arial"/>
          <w:sz w:val="22"/>
          <w:szCs w:val="22"/>
        </w:rPr>
      </w:pPr>
      <w:r w:rsidRPr="00BF7D8F">
        <w:rPr>
          <w:rFonts w:eastAsia="Times New Roman" w:cs="Arial"/>
          <w:sz w:val="22"/>
          <w:szCs w:val="22"/>
        </w:rPr>
        <w:t xml:space="preserve">historical differences in structures for the internal management of schools across the primary and secondary levels, and </w:t>
      </w:r>
    </w:p>
    <w:p w:rsidR="00DE6194" w:rsidRPr="00BF7D8F" w:rsidRDefault="00DE6194" w:rsidP="00DE6194">
      <w:pPr>
        <w:pStyle w:val="MoEBodyText"/>
        <w:spacing w:after="0" w:line="240" w:lineRule="auto"/>
        <w:jc w:val="both"/>
        <w:rPr>
          <w:rFonts w:eastAsia="Times New Roman" w:cs="Arial"/>
          <w:sz w:val="22"/>
          <w:szCs w:val="22"/>
        </w:rPr>
      </w:pPr>
    </w:p>
    <w:p w:rsidR="009D7B00" w:rsidRDefault="009D7B00" w:rsidP="00DE6194">
      <w:pPr>
        <w:pStyle w:val="MoEBodyText"/>
        <w:numPr>
          <w:ilvl w:val="0"/>
          <w:numId w:val="2"/>
        </w:numPr>
        <w:spacing w:after="0" w:line="240" w:lineRule="auto"/>
        <w:ind w:left="567" w:hanging="283"/>
        <w:jc w:val="both"/>
        <w:rPr>
          <w:rFonts w:eastAsia="Times New Roman" w:cs="Arial"/>
          <w:sz w:val="22"/>
          <w:szCs w:val="22"/>
        </w:rPr>
      </w:pPr>
      <w:proofErr w:type="gramStart"/>
      <w:r w:rsidRPr="00BF7D8F">
        <w:rPr>
          <w:rFonts w:eastAsia="Times New Roman" w:cs="Arial"/>
          <w:sz w:val="22"/>
          <w:szCs w:val="22"/>
        </w:rPr>
        <w:t>provision</w:t>
      </w:r>
      <w:proofErr w:type="gramEnd"/>
      <w:r w:rsidRPr="00BF7D8F">
        <w:rPr>
          <w:rFonts w:eastAsia="Times New Roman" w:cs="Arial"/>
          <w:sz w:val="22"/>
          <w:szCs w:val="22"/>
        </w:rPr>
        <w:t xml:space="preserve"> of sufficient support to meet the additional challenges of accessing and successfully delivering the curriculum in te reo Māori. </w:t>
      </w:r>
    </w:p>
    <w:p w:rsidR="00DE6194" w:rsidRPr="00BF7D8F" w:rsidRDefault="00DE6194" w:rsidP="00DE6194">
      <w:pPr>
        <w:pStyle w:val="MoEBodyText"/>
        <w:spacing w:after="0" w:line="240" w:lineRule="auto"/>
        <w:jc w:val="both"/>
        <w:rPr>
          <w:rFonts w:eastAsia="Times New Roman" w:cs="Arial"/>
          <w:sz w:val="22"/>
          <w:szCs w:val="22"/>
        </w:rPr>
      </w:pPr>
    </w:p>
    <w:p w:rsidR="009D7B00" w:rsidRPr="00BF7D8F" w:rsidRDefault="009D7B00" w:rsidP="00DE6194">
      <w:pPr>
        <w:jc w:val="both"/>
        <w:rPr>
          <w:rFonts w:ascii="Arial" w:hAnsi="Arial" w:cs="Arial"/>
          <w:sz w:val="22"/>
          <w:szCs w:val="22"/>
        </w:rPr>
      </w:pPr>
      <w:r w:rsidRPr="00BF7D8F">
        <w:rPr>
          <w:rFonts w:ascii="Arial" w:hAnsi="Arial" w:cs="Arial"/>
          <w:sz w:val="22"/>
          <w:szCs w:val="22"/>
        </w:rPr>
        <w:t xml:space="preserve">At </w:t>
      </w:r>
      <w:r w:rsidR="008D4580">
        <w:rPr>
          <w:rFonts w:ascii="Arial" w:hAnsi="Arial" w:cs="Arial"/>
          <w:sz w:val="22"/>
          <w:szCs w:val="22"/>
        </w:rPr>
        <w:t xml:space="preserve">a system level, average </w:t>
      </w:r>
      <w:r w:rsidR="006074D5">
        <w:rPr>
          <w:rFonts w:ascii="Arial" w:hAnsi="Arial" w:cs="Arial"/>
          <w:sz w:val="22"/>
          <w:szCs w:val="22"/>
        </w:rPr>
        <w:t>government expenditure per-student</w:t>
      </w:r>
      <w:r w:rsidRPr="00BF7D8F">
        <w:rPr>
          <w:rStyle w:val="FootnoteReference"/>
          <w:rFonts w:ascii="Arial" w:hAnsi="Arial" w:cs="Arial"/>
          <w:sz w:val="22"/>
          <w:szCs w:val="22"/>
        </w:rPr>
        <w:footnoteReference w:id="3"/>
      </w:r>
      <w:r w:rsidRPr="00BF7D8F">
        <w:rPr>
          <w:rFonts w:ascii="Arial" w:hAnsi="Arial" w:cs="Arial"/>
          <w:sz w:val="22"/>
          <w:szCs w:val="22"/>
        </w:rPr>
        <w:t xml:space="preserve"> </w:t>
      </w:r>
      <w:r w:rsidR="006074D5">
        <w:rPr>
          <w:rFonts w:ascii="Arial" w:hAnsi="Arial" w:cs="Arial"/>
          <w:sz w:val="22"/>
          <w:szCs w:val="22"/>
        </w:rPr>
        <w:t>is higher at secondary year levels compared to primary</w:t>
      </w:r>
      <w:r w:rsidRPr="00BF7D8F">
        <w:rPr>
          <w:rFonts w:ascii="Arial" w:hAnsi="Arial" w:cs="Arial"/>
          <w:sz w:val="22"/>
          <w:szCs w:val="22"/>
        </w:rPr>
        <w:t>. Government expenditure per-student at the secondary level is around 1.3 times that on primary education.  In 2011</w:t>
      </w:r>
      <w:r w:rsidR="006074D5">
        <w:rPr>
          <w:rFonts w:ascii="Arial" w:hAnsi="Arial" w:cs="Arial"/>
          <w:sz w:val="22"/>
          <w:szCs w:val="22"/>
        </w:rPr>
        <w:t>,</w:t>
      </w:r>
      <w:r w:rsidRPr="00BF7D8F">
        <w:rPr>
          <w:rFonts w:ascii="Arial" w:hAnsi="Arial" w:cs="Arial"/>
          <w:sz w:val="22"/>
          <w:szCs w:val="22"/>
        </w:rPr>
        <w:t xml:space="preserve"> the average across OECD countries was 1.1.</w:t>
      </w:r>
    </w:p>
    <w:p w:rsidR="00951758" w:rsidRDefault="00951758">
      <w:pPr>
        <w:spacing w:after="160" w:line="259" w:lineRule="auto"/>
        <w:rPr>
          <w:rFonts w:ascii="Arial" w:hAnsi="Arial" w:cs="Arial"/>
          <w:sz w:val="22"/>
          <w:szCs w:val="22"/>
        </w:rPr>
      </w:pPr>
      <w:r>
        <w:rPr>
          <w:rFonts w:ascii="Arial" w:hAnsi="Arial" w:cs="Arial"/>
          <w:sz w:val="22"/>
          <w:szCs w:val="22"/>
        </w:rPr>
        <w:br w:type="page"/>
      </w:r>
    </w:p>
    <w:p w:rsidR="009D7B00" w:rsidRDefault="009D7B00" w:rsidP="00951758">
      <w:pPr>
        <w:jc w:val="both"/>
        <w:rPr>
          <w:rFonts w:ascii="Arial" w:hAnsi="Arial" w:cs="Arial"/>
          <w:sz w:val="22"/>
          <w:szCs w:val="22"/>
        </w:rPr>
      </w:pPr>
      <w:r w:rsidRPr="00BF7D8F">
        <w:rPr>
          <w:rFonts w:ascii="Arial" w:hAnsi="Arial" w:cs="Arial"/>
          <w:sz w:val="22"/>
          <w:szCs w:val="22"/>
        </w:rPr>
        <w:t>As shown in the graph below the pattern of funding follows somewhat of a u-shape.</w:t>
      </w:r>
    </w:p>
    <w:p w:rsidR="00951758" w:rsidRPr="00BF7D8F" w:rsidRDefault="00951758" w:rsidP="00951758">
      <w:pPr>
        <w:jc w:val="both"/>
        <w:rPr>
          <w:rFonts w:ascii="Arial" w:hAnsi="Arial" w:cs="Arial"/>
          <w:sz w:val="22"/>
          <w:szCs w:val="22"/>
        </w:rPr>
      </w:pPr>
    </w:p>
    <w:p w:rsidR="009D7B00" w:rsidRPr="00DE6194" w:rsidRDefault="009D7B00" w:rsidP="000F6151">
      <w:pPr>
        <w:spacing w:after="160"/>
        <w:jc w:val="center"/>
        <w:rPr>
          <w:rFonts w:ascii="Arial" w:hAnsi="Arial" w:cs="Arial"/>
          <w:b/>
          <w:sz w:val="20"/>
          <w:szCs w:val="20"/>
        </w:rPr>
      </w:pPr>
      <w:r w:rsidRPr="00DE6194">
        <w:rPr>
          <w:rFonts w:ascii="Arial" w:hAnsi="Arial" w:cs="Arial"/>
          <w:b/>
          <w:sz w:val="20"/>
          <w:szCs w:val="20"/>
        </w:rPr>
        <w:t>Graph 1</w:t>
      </w:r>
      <w:r w:rsidR="00DE6194">
        <w:rPr>
          <w:rFonts w:ascii="Arial" w:hAnsi="Arial" w:cs="Arial"/>
          <w:b/>
          <w:sz w:val="20"/>
          <w:szCs w:val="20"/>
        </w:rPr>
        <w:t>:</w:t>
      </w:r>
      <w:r w:rsidRPr="00DE6194">
        <w:rPr>
          <w:rFonts w:ascii="Arial" w:hAnsi="Arial" w:cs="Arial"/>
          <w:b/>
          <w:sz w:val="20"/>
          <w:szCs w:val="20"/>
        </w:rPr>
        <w:t xml:space="preserve"> Estimated average government expenditure per-student by year level 2015</w:t>
      </w:r>
      <w:r w:rsidRPr="00DE6194">
        <w:rPr>
          <w:rStyle w:val="FootnoteReference"/>
          <w:rFonts w:ascii="Arial" w:hAnsi="Arial" w:cs="Arial"/>
          <w:b/>
          <w:sz w:val="20"/>
          <w:szCs w:val="20"/>
        </w:rPr>
        <w:footnoteReference w:id="4"/>
      </w:r>
    </w:p>
    <w:p w:rsidR="009D7B00" w:rsidRPr="00BF7D8F" w:rsidRDefault="009D7B00" w:rsidP="000F6151">
      <w:pPr>
        <w:spacing w:after="160"/>
        <w:jc w:val="center"/>
        <w:rPr>
          <w:rFonts w:ascii="Arial" w:hAnsi="Arial" w:cs="Arial"/>
          <w:sz w:val="22"/>
          <w:szCs w:val="22"/>
        </w:rPr>
      </w:pPr>
      <w:r w:rsidRPr="00BF7D8F">
        <w:rPr>
          <w:rFonts w:ascii="Arial" w:hAnsi="Arial" w:cs="Arial"/>
          <w:noProof/>
          <w:sz w:val="22"/>
          <w:szCs w:val="22"/>
          <w:lang w:val="en-NZ" w:eastAsia="en-NZ"/>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7B00" w:rsidRPr="00BF7D8F" w:rsidRDefault="009D7B00" w:rsidP="009D7B00">
      <w:pPr>
        <w:spacing w:after="160"/>
        <w:jc w:val="both"/>
        <w:rPr>
          <w:rFonts w:ascii="Arial" w:hAnsi="Arial" w:cs="Arial"/>
          <w:sz w:val="22"/>
          <w:szCs w:val="22"/>
        </w:rPr>
      </w:pPr>
    </w:p>
    <w:p w:rsidR="009D7B00" w:rsidRDefault="009D7B00" w:rsidP="00DE6194">
      <w:pPr>
        <w:jc w:val="both"/>
        <w:rPr>
          <w:rFonts w:ascii="Arial" w:hAnsi="Arial" w:cs="Arial"/>
          <w:sz w:val="22"/>
          <w:szCs w:val="22"/>
        </w:rPr>
      </w:pPr>
      <w:r w:rsidRPr="00BF7D8F">
        <w:rPr>
          <w:rFonts w:ascii="Arial" w:hAnsi="Arial" w:cs="Arial"/>
          <w:sz w:val="22"/>
          <w:szCs w:val="22"/>
        </w:rPr>
        <w:t>Average expenditure per-student is comparatively high at Year 1, falling quite sharply to its lowest levels across Years 4 to 6.  At Year 1</w:t>
      </w:r>
      <w:r w:rsidR="006074D5">
        <w:rPr>
          <w:rFonts w:ascii="Arial" w:hAnsi="Arial" w:cs="Arial"/>
          <w:sz w:val="22"/>
          <w:szCs w:val="22"/>
        </w:rPr>
        <w:t>,</w:t>
      </w:r>
      <w:r w:rsidRPr="00BF7D8F">
        <w:rPr>
          <w:rFonts w:ascii="Arial" w:hAnsi="Arial" w:cs="Arial"/>
          <w:sz w:val="22"/>
          <w:szCs w:val="22"/>
        </w:rPr>
        <w:t xml:space="preserve"> estimated average expenditure per-student is some 60% higher than at Years 4 to 6.</w:t>
      </w:r>
    </w:p>
    <w:p w:rsidR="00DE6194" w:rsidRPr="00BF7D8F" w:rsidRDefault="00DE6194" w:rsidP="00DE6194">
      <w:pPr>
        <w:jc w:val="both"/>
        <w:rPr>
          <w:rFonts w:ascii="Arial" w:hAnsi="Arial" w:cs="Arial"/>
          <w:sz w:val="22"/>
          <w:szCs w:val="22"/>
        </w:rPr>
      </w:pPr>
    </w:p>
    <w:p w:rsidR="009D7B00" w:rsidRDefault="009D7B00" w:rsidP="00DE6194">
      <w:pPr>
        <w:jc w:val="both"/>
        <w:rPr>
          <w:rFonts w:ascii="Arial" w:hAnsi="Arial" w:cs="Arial"/>
          <w:sz w:val="22"/>
          <w:szCs w:val="22"/>
        </w:rPr>
      </w:pPr>
      <w:r w:rsidRPr="00BF7D8F">
        <w:rPr>
          <w:rFonts w:ascii="Arial" w:hAnsi="Arial" w:cs="Arial"/>
          <w:sz w:val="22"/>
          <w:szCs w:val="22"/>
        </w:rPr>
        <w:t>There is an increase in average expenditure per-student at Year 7 and Year 9 and then at each of Years 11, 12 and 13.  Expenditure is comparatively high at Years 12 and 13.  At Year 13</w:t>
      </w:r>
      <w:r w:rsidR="006074D5">
        <w:rPr>
          <w:rFonts w:ascii="Arial" w:hAnsi="Arial" w:cs="Arial"/>
          <w:sz w:val="22"/>
          <w:szCs w:val="22"/>
        </w:rPr>
        <w:t>,</w:t>
      </w:r>
      <w:r w:rsidRPr="00BF7D8F">
        <w:rPr>
          <w:rFonts w:ascii="Arial" w:hAnsi="Arial" w:cs="Arial"/>
          <w:sz w:val="22"/>
          <w:szCs w:val="22"/>
        </w:rPr>
        <w:t xml:space="preserve"> estimated average expenditure per-student is some 80% higher than expenditure at Years 4 to 6, and some 28% higher than at the beginning of secondary schooling at Year 9.</w:t>
      </w:r>
    </w:p>
    <w:p w:rsidR="00DE6194" w:rsidRPr="00BF7D8F" w:rsidRDefault="00DE6194" w:rsidP="00DE6194">
      <w:pPr>
        <w:jc w:val="both"/>
        <w:rPr>
          <w:rFonts w:ascii="Arial" w:hAnsi="Arial" w:cs="Arial"/>
          <w:sz w:val="22"/>
          <w:szCs w:val="22"/>
        </w:rPr>
      </w:pPr>
    </w:p>
    <w:p w:rsidR="009D7B00" w:rsidRDefault="009D7B00" w:rsidP="00DE6194">
      <w:pPr>
        <w:jc w:val="both"/>
        <w:rPr>
          <w:rFonts w:ascii="Arial" w:hAnsi="Arial" w:cs="Arial"/>
          <w:sz w:val="22"/>
          <w:szCs w:val="22"/>
        </w:rPr>
      </w:pPr>
      <w:r w:rsidRPr="00BF7D8F">
        <w:rPr>
          <w:rFonts w:ascii="Arial" w:hAnsi="Arial" w:cs="Arial"/>
          <w:sz w:val="22"/>
          <w:szCs w:val="22"/>
        </w:rPr>
        <w:t>Key factors driving this pattern of funding are:</w:t>
      </w:r>
    </w:p>
    <w:p w:rsidR="00DE6194" w:rsidRPr="00BF7D8F" w:rsidRDefault="00DE6194" w:rsidP="00DE6194">
      <w:pPr>
        <w:jc w:val="both"/>
        <w:rPr>
          <w:rFonts w:ascii="Arial" w:hAnsi="Arial" w:cs="Arial"/>
          <w:sz w:val="22"/>
          <w:szCs w:val="22"/>
        </w:rPr>
      </w:pPr>
    </w:p>
    <w:p w:rsidR="009D7B00" w:rsidRDefault="009D7B00" w:rsidP="007A7B02">
      <w:pPr>
        <w:pStyle w:val="ListParagraph"/>
        <w:numPr>
          <w:ilvl w:val="0"/>
          <w:numId w:val="3"/>
        </w:numPr>
        <w:ind w:left="568" w:hanging="284"/>
        <w:jc w:val="both"/>
        <w:rPr>
          <w:rFonts w:ascii="Arial" w:hAnsi="Arial" w:cs="Arial"/>
        </w:rPr>
      </w:pPr>
      <w:r w:rsidRPr="00BF7D8F">
        <w:rPr>
          <w:rFonts w:ascii="Arial" w:hAnsi="Arial" w:cs="Arial"/>
        </w:rPr>
        <w:t>the structure of curriculum staffing ratios</w:t>
      </w:r>
      <w:r w:rsidRPr="000E1659">
        <w:rPr>
          <w:rFonts w:ascii="Arial" w:hAnsi="Arial" w:cs="Arial"/>
          <w:vertAlign w:val="superscript"/>
        </w:rPr>
        <w:footnoteReference w:id="5"/>
      </w:r>
      <w:r w:rsidRPr="00BF7D8F">
        <w:rPr>
          <w:rFonts w:ascii="Arial" w:hAnsi="Arial" w:cs="Arial"/>
        </w:rPr>
        <w:t xml:space="preserve">, especially for </w:t>
      </w:r>
      <w:r w:rsidR="00691082">
        <w:rPr>
          <w:rFonts w:ascii="Arial" w:hAnsi="Arial" w:cs="Arial"/>
        </w:rPr>
        <w:t>children and young people</w:t>
      </w:r>
      <w:r w:rsidR="00691082" w:rsidRPr="00BF7D8F">
        <w:rPr>
          <w:rFonts w:ascii="Arial" w:hAnsi="Arial" w:cs="Arial"/>
        </w:rPr>
        <w:t xml:space="preserve"> </w:t>
      </w:r>
      <w:r w:rsidRPr="00BF7D8F">
        <w:rPr>
          <w:rFonts w:ascii="Arial" w:hAnsi="Arial" w:cs="Arial"/>
        </w:rPr>
        <w:t>who are not studying in</w:t>
      </w:r>
      <w:r w:rsidR="00A42349">
        <w:rPr>
          <w:rFonts w:ascii="Arial" w:hAnsi="Arial" w:cs="Arial"/>
        </w:rPr>
        <w:t>,</w:t>
      </w:r>
      <w:r w:rsidRPr="00BF7D8F">
        <w:rPr>
          <w:rFonts w:ascii="Arial" w:hAnsi="Arial" w:cs="Arial"/>
        </w:rPr>
        <w:t xml:space="preserve"> and through</w:t>
      </w:r>
      <w:r w:rsidR="00A42349">
        <w:rPr>
          <w:rFonts w:ascii="Arial" w:hAnsi="Arial" w:cs="Arial"/>
        </w:rPr>
        <w:t>,</w:t>
      </w:r>
      <w:r w:rsidRPr="00BF7D8F">
        <w:rPr>
          <w:rFonts w:ascii="Arial" w:hAnsi="Arial" w:cs="Arial"/>
        </w:rPr>
        <w:t xml:space="preserve"> te reo Māori</w:t>
      </w:r>
    </w:p>
    <w:p w:rsidR="00DE6194" w:rsidRPr="00BF7D8F" w:rsidRDefault="00DE6194" w:rsidP="00DE6194">
      <w:pPr>
        <w:pStyle w:val="ListParagraph"/>
        <w:jc w:val="both"/>
        <w:rPr>
          <w:rFonts w:ascii="Arial" w:hAnsi="Arial" w:cs="Arial"/>
        </w:rPr>
      </w:pPr>
    </w:p>
    <w:p w:rsidR="009D7B00" w:rsidRDefault="009D7B00" w:rsidP="007A7B02">
      <w:pPr>
        <w:pStyle w:val="ListParagraph"/>
        <w:numPr>
          <w:ilvl w:val="0"/>
          <w:numId w:val="3"/>
        </w:numPr>
        <w:ind w:left="568" w:hanging="284"/>
        <w:jc w:val="both"/>
        <w:rPr>
          <w:rFonts w:ascii="Arial" w:hAnsi="Arial" w:cs="Arial"/>
        </w:rPr>
      </w:pPr>
      <w:r w:rsidRPr="00BF7D8F">
        <w:rPr>
          <w:rFonts w:ascii="Arial" w:hAnsi="Arial" w:cs="Arial"/>
        </w:rPr>
        <w:t xml:space="preserve">a gradual increase in operational grant funding as </w:t>
      </w:r>
      <w:r w:rsidR="00691082">
        <w:rPr>
          <w:rFonts w:ascii="Arial" w:hAnsi="Arial" w:cs="Arial"/>
        </w:rPr>
        <w:t>children</w:t>
      </w:r>
      <w:r w:rsidR="00691082" w:rsidRPr="00BF7D8F">
        <w:rPr>
          <w:rFonts w:ascii="Arial" w:hAnsi="Arial" w:cs="Arial"/>
        </w:rPr>
        <w:t xml:space="preserve"> </w:t>
      </w:r>
      <w:r w:rsidRPr="00BF7D8F">
        <w:rPr>
          <w:rFonts w:ascii="Arial" w:hAnsi="Arial" w:cs="Arial"/>
        </w:rPr>
        <w:t xml:space="preserve">move through the year levels </w:t>
      </w:r>
    </w:p>
    <w:p w:rsidR="00DE6194" w:rsidRPr="00DE6194" w:rsidRDefault="00DE6194" w:rsidP="00DE6194">
      <w:pPr>
        <w:jc w:val="both"/>
        <w:rPr>
          <w:rFonts w:ascii="Arial" w:hAnsi="Arial" w:cs="Arial"/>
        </w:rPr>
      </w:pPr>
    </w:p>
    <w:p w:rsidR="009D7B00" w:rsidRDefault="009D7B00" w:rsidP="007A7B02">
      <w:pPr>
        <w:pStyle w:val="ListParagraph"/>
        <w:numPr>
          <w:ilvl w:val="0"/>
          <w:numId w:val="3"/>
        </w:numPr>
        <w:ind w:left="568" w:hanging="284"/>
        <w:jc w:val="both"/>
        <w:rPr>
          <w:rFonts w:ascii="Arial" w:hAnsi="Arial" w:cs="Arial"/>
        </w:rPr>
      </w:pPr>
      <w:r w:rsidRPr="00BF7D8F">
        <w:rPr>
          <w:rFonts w:ascii="Arial" w:hAnsi="Arial" w:cs="Arial"/>
        </w:rPr>
        <w:t>greater management staffing entitlement as children move from primary and into secondary levels, and increasing as they move through secondary schooling</w:t>
      </w:r>
    </w:p>
    <w:p w:rsidR="00DE6194" w:rsidRPr="00DE6194" w:rsidRDefault="00DE6194" w:rsidP="00DE6194">
      <w:pPr>
        <w:jc w:val="both"/>
        <w:rPr>
          <w:rFonts w:ascii="Arial" w:hAnsi="Arial" w:cs="Arial"/>
        </w:rPr>
      </w:pPr>
    </w:p>
    <w:p w:rsidR="009D7B00" w:rsidRDefault="009D7B00" w:rsidP="007A7B02">
      <w:pPr>
        <w:pStyle w:val="ListParagraph"/>
        <w:numPr>
          <w:ilvl w:val="0"/>
          <w:numId w:val="3"/>
        </w:numPr>
        <w:ind w:left="568" w:hanging="284"/>
        <w:jc w:val="both"/>
        <w:rPr>
          <w:rFonts w:ascii="Arial" w:hAnsi="Arial" w:cs="Arial"/>
        </w:rPr>
      </w:pPr>
      <w:r w:rsidRPr="00BF7D8F">
        <w:rPr>
          <w:rFonts w:ascii="Arial" w:hAnsi="Arial" w:cs="Arial"/>
        </w:rPr>
        <w:t xml:space="preserve">provision of specific funding streams for schools with secondary students, and particularly for </w:t>
      </w:r>
      <w:r w:rsidR="00691082">
        <w:rPr>
          <w:rFonts w:ascii="Arial" w:hAnsi="Arial" w:cs="Arial"/>
        </w:rPr>
        <w:t>young people</w:t>
      </w:r>
      <w:r w:rsidR="00691082" w:rsidRPr="00BF7D8F">
        <w:rPr>
          <w:rFonts w:ascii="Arial" w:hAnsi="Arial" w:cs="Arial"/>
        </w:rPr>
        <w:t xml:space="preserve"> </w:t>
      </w:r>
      <w:r w:rsidRPr="00BF7D8F">
        <w:rPr>
          <w:rFonts w:ascii="Arial" w:hAnsi="Arial" w:cs="Arial"/>
        </w:rPr>
        <w:t>at the senior secondary level, including Additional Guidance Staffing Entitlement, the Secondary Tertiary Alignment Resource (STAR), funding for Secondary Tertiary Programmes (Trades Academies)</w:t>
      </w:r>
    </w:p>
    <w:p w:rsidR="00DE6194" w:rsidRPr="00DE6194" w:rsidRDefault="00DE6194" w:rsidP="00DE6194">
      <w:pPr>
        <w:jc w:val="both"/>
        <w:rPr>
          <w:rFonts w:ascii="Arial" w:hAnsi="Arial" w:cs="Arial"/>
        </w:rPr>
      </w:pPr>
    </w:p>
    <w:p w:rsidR="009D7B00" w:rsidRDefault="009D7B00" w:rsidP="00DE6194">
      <w:pPr>
        <w:pStyle w:val="ListParagraph"/>
        <w:numPr>
          <w:ilvl w:val="0"/>
          <w:numId w:val="3"/>
        </w:numPr>
        <w:ind w:left="567" w:hanging="283"/>
        <w:jc w:val="both"/>
        <w:rPr>
          <w:rFonts w:ascii="Arial" w:hAnsi="Arial" w:cs="Arial"/>
        </w:rPr>
      </w:pPr>
      <w:r w:rsidRPr="00BF7D8F">
        <w:rPr>
          <w:rFonts w:ascii="Arial" w:hAnsi="Arial" w:cs="Arial"/>
        </w:rPr>
        <w:t>the higher level of base operational grant funding and base staffing entitlement at the secondary compared to primary level</w:t>
      </w:r>
      <w:r w:rsidR="00A42349">
        <w:rPr>
          <w:rFonts w:ascii="Arial" w:hAnsi="Arial" w:cs="Arial"/>
        </w:rPr>
        <w:t>, and</w:t>
      </w:r>
    </w:p>
    <w:p w:rsidR="00985410" w:rsidRPr="00985410" w:rsidRDefault="00985410" w:rsidP="00985410">
      <w:pPr>
        <w:pStyle w:val="ListParagraph"/>
        <w:rPr>
          <w:rFonts w:ascii="Arial" w:hAnsi="Arial" w:cs="Arial"/>
        </w:rPr>
      </w:pPr>
    </w:p>
    <w:p w:rsidR="009D7B00" w:rsidRDefault="009D7B00" w:rsidP="00DE6194">
      <w:pPr>
        <w:pStyle w:val="ListParagraph"/>
        <w:numPr>
          <w:ilvl w:val="0"/>
          <w:numId w:val="3"/>
        </w:numPr>
        <w:ind w:left="567" w:hanging="283"/>
        <w:jc w:val="both"/>
        <w:rPr>
          <w:rFonts w:ascii="Arial" w:hAnsi="Arial" w:cs="Arial"/>
        </w:rPr>
      </w:pPr>
      <w:proofErr w:type="gramStart"/>
      <w:r w:rsidRPr="00BF7D8F">
        <w:rPr>
          <w:rFonts w:ascii="Arial" w:hAnsi="Arial" w:cs="Arial"/>
        </w:rPr>
        <w:t>a</w:t>
      </w:r>
      <w:proofErr w:type="gramEnd"/>
      <w:r w:rsidRPr="00BF7D8F">
        <w:rPr>
          <w:rFonts w:ascii="Arial" w:hAnsi="Arial" w:cs="Arial"/>
        </w:rPr>
        <w:t xml:space="preserve"> differential in average teacher salary levels between primary and secondary schools.</w:t>
      </w:r>
    </w:p>
    <w:p w:rsidR="00985410" w:rsidRPr="00985410" w:rsidRDefault="00985410" w:rsidP="00985410">
      <w:pPr>
        <w:pStyle w:val="ListParagraph"/>
        <w:rPr>
          <w:rFonts w:ascii="Arial" w:hAnsi="Arial" w:cs="Arial"/>
        </w:rPr>
      </w:pPr>
    </w:p>
    <w:p w:rsidR="00DE6194" w:rsidRDefault="00691082" w:rsidP="00DE6194">
      <w:pPr>
        <w:pStyle w:val="MoEBodyText"/>
        <w:spacing w:after="0" w:line="240" w:lineRule="auto"/>
        <w:jc w:val="both"/>
        <w:rPr>
          <w:rFonts w:cs="Arial"/>
          <w:sz w:val="22"/>
          <w:szCs w:val="22"/>
        </w:rPr>
      </w:pPr>
      <w:bookmarkStart w:id="0" w:name="_Toc443914451"/>
      <w:bookmarkStart w:id="1" w:name="_Toc446331366"/>
      <w:r>
        <w:rPr>
          <w:rFonts w:cs="Arial"/>
          <w:sz w:val="22"/>
          <w:szCs w:val="22"/>
        </w:rPr>
        <w:t>Children and young people</w:t>
      </w:r>
      <w:r w:rsidRPr="00BF7D8F">
        <w:rPr>
          <w:rFonts w:cs="Arial"/>
          <w:sz w:val="22"/>
          <w:szCs w:val="22"/>
        </w:rPr>
        <w:t xml:space="preserve"> </w:t>
      </w:r>
      <w:r w:rsidR="009D7B00" w:rsidRPr="00BF7D8F">
        <w:rPr>
          <w:rFonts w:cs="Arial"/>
          <w:sz w:val="22"/>
          <w:szCs w:val="22"/>
        </w:rPr>
        <w:t>studying in</w:t>
      </w:r>
      <w:r w:rsidR="00A42349">
        <w:rPr>
          <w:rFonts w:cs="Arial"/>
          <w:sz w:val="22"/>
          <w:szCs w:val="22"/>
        </w:rPr>
        <w:t>,</w:t>
      </w:r>
      <w:r w:rsidR="009D7B00" w:rsidRPr="00BF7D8F">
        <w:rPr>
          <w:rFonts w:cs="Arial"/>
          <w:sz w:val="22"/>
          <w:szCs w:val="22"/>
        </w:rPr>
        <w:t xml:space="preserve"> and through</w:t>
      </w:r>
      <w:r w:rsidR="00A42349">
        <w:rPr>
          <w:rFonts w:cs="Arial"/>
          <w:sz w:val="22"/>
          <w:szCs w:val="22"/>
        </w:rPr>
        <w:t>,</w:t>
      </w:r>
      <w:r w:rsidR="009D7B00" w:rsidRPr="00BF7D8F">
        <w:rPr>
          <w:rFonts w:cs="Arial"/>
          <w:sz w:val="22"/>
          <w:szCs w:val="22"/>
        </w:rPr>
        <w:t xml:space="preserve"> </w:t>
      </w:r>
      <w:proofErr w:type="gramStart"/>
      <w:r w:rsidR="009D7B00" w:rsidRPr="00BF7D8F">
        <w:rPr>
          <w:rFonts w:cs="Arial"/>
          <w:sz w:val="22"/>
          <w:szCs w:val="22"/>
        </w:rPr>
        <w:t>te</w:t>
      </w:r>
      <w:proofErr w:type="gramEnd"/>
      <w:r w:rsidR="009D7B00" w:rsidRPr="00BF7D8F">
        <w:rPr>
          <w:rFonts w:cs="Arial"/>
          <w:sz w:val="22"/>
          <w:szCs w:val="22"/>
        </w:rPr>
        <w:t xml:space="preserve"> reo Māori (particularly those studying at immersion levels 1 and 2) or </w:t>
      </w:r>
      <w:r w:rsidR="00A42349">
        <w:rPr>
          <w:rFonts w:cs="Arial"/>
          <w:sz w:val="22"/>
          <w:szCs w:val="22"/>
        </w:rPr>
        <w:t xml:space="preserve">studying </w:t>
      </w:r>
      <w:r w:rsidR="009D7B00" w:rsidRPr="00BF7D8F">
        <w:rPr>
          <w:rFonts w:cs="Arial"/>
          <w:sz w:val="22"/>
          <w:szCs w:val="22"/>
        </w:rPr>
        <w:t>Māori as a subject generate additional funding.  At immersion levels 1 and 2</w:t>
      </w:r>
      <w:r w:rsidR="006074D5">
        <w:rPr>
          <w:rFonts w:cs="Arial"/>
          <w:sz w:val="22"/>
          <w:szCs w:val="22"/>
        </w:rPr>
        <w:t>,</w:t>
      </w:r>
      <w:r w:rsidR="009D7B00" w:rsidRPr="00BF7D8F">
        <w:rPr>
          <w:rFonts w:cs="Arial"/>
          <w:sz w:val="22"/>
          <w:szCs w:val="22"/>
        </w:rPr>
        <w:t xml:space="preserve"> the differential is the result of a combination of Māori Language Programme Funding and specific curriculum staffing ratios.</w:t>
      </w:r>
    </w:p>
    <w:p w:rsidR="00DE6194" w:rsidRPr="00BF7D8F" w:rsidRDefault="00DE6194" w:rsidP="00DE6194">
      <w:pPr>
        <w:pStyle w:val="MoEBodyText"/>
        <w:spacing w:after="0" w:line="240" w:lineRule="auto"/>
        <w:jc w:val="both"/>
        <w:rPr>
          <w:rFonts w:cs="Arial"/>
          <w:sz w:val="22"/>
          <w:szCs w:val="22"/>
        </w:rPr>
      </w:pPr>
    </w:p>
    <w:p w:rsidR="009D7B00" w:rsidRPr="00BF7D8F" w:rsidRDefault="009D7B00" w:rsidP="00DE6194">
      <w:pPr>
        <w:pStyle w:val="MoEBodyText"/>
        <w:spacing w:after="0" w:line="240" w:lineRule="auto"/>
        <w:jc w:val="both"/>
        <w:rPr>
          <w:rFonts w:cs="Arial"/>
          <w:sz w:val="22"/>
          <w:szCs w:val="22"/>
        </w:rPr>
      </w:pPr>
      <w:r w:rsidRPr="00BF7D8F">
        <w:rPr>
          <w:rFonts w:cs="Arial"/>
          <w:sz w:val="22"/>
          <w:szCs w:val="22"/>
        </w:rPr>
        <w:t xml:space="preserve">The pattern of funding for </w:t>
      </w:r>
      <w:r w:rsidR="00691082">
        <w:rPr>
          <w:rFonts w:cs="Arial"/>
          <w:sz w:val="22"/>
          <w:szCs w:val="22"/>
        </w:rPr>
        <w:t>children and young people</w:t>
      </w:r>
      <w:r w:rsidR="00691082" w:rsidRPr="00BF7D8F">
        <w:rPr>
          <w:rFonts w:cs="Arial"/>
          <w:sz w:val="22"/>
          <w:szCs w:val="22"/>
        </w:rPr>
        <w:t xml:space="preserve"> </w:t>
      </w:r>
      <w:r w:rsidRPr="00BF7D8F">
        <w:rPr>
          <w:rFonts w:cs="Arial"/>
          <w:sz w:val="22"/>
          <w:szCs w:val="22"/>
        </w:rPr>
        <w:t xml:space="preserve">studying at Māori immersion levels 1 and 2 is more even across year levels than in English medium contexts, due to a flatter profile of curriculum staffing ratios. The specific differential in funding for </w:t>
      </w:r>
      <w:r w:rsidR="00691082">
        <w:rPr>
          <w:rFonts w:cs="Arial"/>
          <w:sz w:val="22"/>
          <w:szCs w:val="22"/>
        </w:rPr>
        <w:t>children and young people</w:t>
      </w:r>
      <w:r w:rsidR="00691082" w:rsidRPr="00BF7D8F">
        <w:rPr>
          <w:rFonts w:cs="Arial"/>
          <w:sz w:val="22"/>
          <w:szCs w:val="22"/>
        </w:rPr>
        <w:t xml:space="preserve"> </w:t>
      </w:r>
      <w:r w:rsidRPr="00BF7D8F">
        <w:rPr>
          <w:rFonts w:cs="Arial"/>
          <w:sz w:val="22"/>
          <w:szCs w:val="22"/>
        </w:rPr>
        <w:t>studying at Maori immersion levels 1 and 2 is greatest over Years 4 to 8 and smallest at Years 1, 12 and 13.</w:t>
      </w:r>
    </w:p>
    <w:p w:rsidR="009D7B00" w:rsidRPr="00DE6194" w:rsidRDefault="0017593F" w:rsidP="00DE6194">
      <w:pPr>
        <w:pStyle w:val="MoEBodyText"/>
        <w:spacing w:after="0" w:line="240" w:lineRule="auto"/>
        <w:jc w:val="both"/>
        <w:rPr>
          <w:rFonts w:cs="Arial"/>
          <w:sz w:val="24"/>
          <w:szCs w:val="24"/>
        </w:rPr>
      </w:pPr>
      <w:r w:rsidRPr="0017593F">
        <w:rPr>
          <w:rFonts w:cs="Arial"/>
          <w:noProof/>
          <w:sz w:val="22"/>
          <w:szCs w:val="22"/>
          <w:lang w:eastAsia="en-NZ"/>
        </w:rPr>
        <w:pict>
          <v:shape id="_x0000_s1028" type="#_x0000_t202" style="position:absolute;left:0;text-align:left;margin-left:0;margin-top:5.3pt;width:486pt;height:141.55pt;z-index:251662336">
            <v:textbox style="mso-next-textbox:#_x0000_s1028">
              <w:txbxContent>
                <w:p w:rsidR="00691082" w:rsidRDefault="00691082" w:rsidP="009D7B00">
                  <w:pPr>
                    <w:rPr>
                      <w:rFonts w:ascii="Arial" w:hAnsi="Arial" w:cs="Arial"/>
                      <w:i/>
                      <w:sz w:val="22"/>
                      <w:szCs w:val="22"/>
                    </w:rPr>
                  </w:pPr>
                  <w:r>
                    <w:rPr>
                      <w:rFonts w:ascii="Arial" w:hAnsi="Arial" w:cs="Arial"/>
                      <w:i/>
                      <w:sz w:val="22"/>
                      <w:szCs w:val="22"/>
                    </w:rPr>
                    <w:t>Questions for discussion</w:t>
                  </w:r>
                </w:p>
                <w:p w:rsidR="00691082" w:rsidRDefault="00691082" w:rsidP="009D7B00">
                  <w:pPr>
                    <w:rPr>
                      <w:rFonts w:ascii="Arial" w:hAnsi="Arial" w:cs="Arial"/>
                      <w:i/>
                      <w:sz w:val="22"/>
                      <w:szCs w:val="22"/>
                    </w:rPr>
                  </w:pPr>
                </w:p>
                <w:p w:rsidR="00691082" w:rsidRPr="00BF7D8F" w:rsidRDefault="00691082" w:rsidP="008E1CEC">
                  <w:pPr>
                    <w:jc w:val="both"/>
                    <w:rPr>
                      <w:rFonts w:ascii="Arial" w:hAnsi="Arial" w:cs="Arial"/>
                      <w:i/>
                      <w:sz w:val="22"/>
                      <w:szCs w:val="22"/>
                    </w:rPr>
                  </w:pPr>
                  <w:r w:rsidRPr="00BF7D8F">
                    <w:rPr>
                      <w:rFonts w:ascii="Arial" w:hAnsi="Arial" w:cs="Arial"/>
                      <w:i/>
                      <w:sz w:val="22"/>
                      <w:szCs w:val="22"/>
                    </w:rPr>
                    <w:t xml:space="preserve">Is the current profile of funding aligned with the </w:t>
                  </w:r>
                  <w:r>
                    <w:rPr>
                      <w:rFonts w:ascii="Arial" w:hAnsi="Arial" w:cs="Arial"/>
                      <w:i/>
                      <w:sz w:val="22"/>
                      <w:szCs w:val="22"/>
                    </w:rPr>
                    <w:t xml:space="preserve">teaching and learning expectations in the curricula </w:t>
                  </w:r>
                  <w:r w:rsidRPr="00BF7D8F">
                    <w:rPr>
                      <w:rFonts w:ascii="Arial" w:hAnsi="Arial" w:cs="Arial"/>
                      <w:i/>
                      <w:sz w:val="22"/>
                      <w:szCs w:val="22"/>
                    </w:rPr>
                    <w:t>and student needs at each stage of the schooling journey?</w:t>
                  </w:r>
                </w:p>
                <w:p w:rsidR="00691082" w:rsidRPr="00BF7D8F" w:rsidRDefault="00691082" w:rsidP="008E1CEC">
                  <w:pPr>
                    <w:jc w:val="both"/>
                    <w:rPr>
                      <w:rFonts w:ascii="Arial" w:hAnsi="Arial" w:cs="Arial"/>
                      <w:i/>
                      <w:sz w:val="22"/>
                      <w:szCs w:val="22"/>
                    </w:rPr>
                  </w:pPr>
                </w:p>
                <w:p w:rsidR="00691082" w:rsidRPr="00BF7D8F" w:rsidRDefault="00691082" w:rsidP="008E1CEC">
                  <w:pPr>
                    <w:jc w:val="both"/>
                    <w:rPr>
                      <w:rFonts w:ascii="Arial" w:hAnsi="Arial" w:cs="Arial"/>
                      <w:i/>
                      <w:sz w:val="22"/>
                      <w:szCs w:val="22"/>
                    </w:rPr>
                  </w:pPr>
                  <w:r w:rsidRPr="00BF7D8F">
                    <w:rPr>
                      <w:rFonts w:ascii="Arial" w:hAnsi="Arial" w:cs="Arial"/>
                      <w:i/>
                      <w:sz w:val="22"/>
                      <w:szCs w:val="22"/>
                    </w:rPr>
                    <w:t xml:space="preserve">To what extent do schools use funding in line with current allocations within the operational grant and staffing entitlement, such as the curriculum staffing ratios? </w:t>
                  </w:r>
                </w:p>
                <w:p w:rsidR="00691082" w:rsidRPr="00BF7D8F" w:rsidRDefault="00691082" w:rsidP="008E1CEC">
                  <w:pPr>
                    <w:jc w:val="both"/>
                  </w:pPr>
                </w:p>
                <w:p w:rsidR="00691082" w:rsidRPr="00BF7D8F" w:rsidRDefault="00691082" w:rsidP="008E1CEC">
                  <w:pPr>
                    <w:jc w:val="both"/>
                    <w:rPr>
                      <w:rFonts w:ascii="Arial" w:hAnsi="Arial" w:cs="Arial"/>
                      <w:i/>
                      <w:sz w:val="22"/>
                      <w:szCs w:val="22"/>
                    </w:rPr>
                  </w:pPr>
                  <w:r w:rsidRPr="00BF7D8F">
                    <w:rPr>
                      <w:rFonts w:ascii="Arial" w:hAnsi="Arial" w:cs="Arial"/>
                      <w:i/>
                      <w:sz w:val="22"/>
                      <w:szCs w:val="22"/>
                    </w:rPr>
                    <w:t>How do differences in the profile of funding across year levels impact on the certainty for schools to plan and effectively manage?</w:t>
                  </w:r>
                </w:p>
                <w:p w:rsidR="00691082" w:rsidRDefault="00691082" w:rsidP="009D7B00"/>
              </w:txbxContent>
            </v:textbox>
          </v:shape>
        </w:pict>
      </w:r>
    </w:p>
    <w:p w:rsidR="009D7B00" w:rsidRPr="00BF7D8F" w:rsidRDefault="009D7B00" w:rsidP="00DE6194">
      <w:pPr>
        <w:rPr>
          <w:rFonts w:ascii="Arial" w:hAnsi="Arial" w:cs="Arial"/>
          <w:i/>
          <w:sz w:val="22"/>
          <w:szCs w:val="22"/>
        </w:rPr>
      </w:pPr>
    </w:p>
    <w:p w:rsidR="009D7B00" w:rsidRPr="00BF7D8F" w:rsidRDefault="009D7B00" w:rsidP="00DE6194">
      <w:pPr>
        <w:rPr>
          <w:rFonts w:ascii="Arial" w:hAnsi="Arial" w:cs="Arial"/>
          <w:i/>
          <w:sz w:val="22"/>
          <w:szCs w:val="22"/>
        </w:rPr>
      </w:pPr>
    </w:p>
    <w:p w:rsidR="009D7B00" w:rsidRPr="00BF7D8F" w:rsidRDefault="009D7B00" w:rsidP="00DE6194">
      <w:pPr>
        <w:rPr>
          <w:rFonts w:ascii="Arial" w:hAnsi="Arial" w:cs="Arial"/>
          <w:i/>
          <w:sz w:val="22"/>
          <w:szCs w:val="22"/>
        </w:rPr>
      </w:pPr>
    </w:p>
    <w:p w:rsidR="009D7B00" w:rsidRPr="00BF7D8F" w:rsidRDefault="009D7B00" w:rsidP="00DE6194">
      <w:pPr>
        <w:rPr>
          <w:rFonts w:ascii="Arial" w:hAnsi="Arial" w:cs="Arial"/>
          <w:i/>
          <w:sz w:val="22"/>
          <w:szCs w:val="22"/>
        </w:rPr>
      </w:pPr>
    </w:p>
    <w:p w:rsidR="009D7B00" w:rsidRPr="00BF7D8F" w:rsidRDefault="009D7B00" w:rsidP="00DE6194">
      <w:pPr>
        <w:rPr>
          <w:rFonts w:ascii="Arial" w:hAnsi="Arial" w:cs="Arial"/>
          <w:i/>
          <w:sz w:val="22"/>
          <w:szCs w:val="22"/>
        </w:rPr>
      </w:pPr>
    </w:p>
    <w:p w:rsidR="009D7B00" w:rsidRPr="00BF7D8F" w:rsidRDefault="009D7B00" w:rsidP="00DE6194">
      <w:pPr>
        <w:rPr>
          <w:rFonts w:ascii="Arial" w:hAnsi="Arial" w:cs="Arial"/>
          <w:i/>
          <w:sz w:val="22"/>
          <w:szCs w:val="22"/>
        </w:rPr>
      </w:pPr>
    </w:p>
    <w:p w:rsidR="009D7B00" w:rsidRPr="00BF7D8F" w:rsidRDefault="009D7B00" w:rsidP="00DE6194">
      <w:pPr>
        <w:rPr>
          <w:rFonts w:ascii="Arial" w:hAnsi="Arial" w:cs="Arial"/>
          <w:i/>
          <w:sz w:val="22"/>
          <w:szCs w:val="22"/>
        </w:rPr>
      </w:pPr>
    </w:p>
    <w:bookmarkEnd w:id="0"/>
    <w:bookmarkEnd w:id="1"/>
    <w:p w:rsidR="009D7B00" w:rsidRPr="00BF7D8F" w:rsidRDefault="009D7B00" w:rsidP="00DE6194">
      <w:pPr>
        <w:pStyle w:val="MoEHeading3"/>
        <w:spacing w:before="0" w:after="0" w:line="240" w:lineRule="auto"/>
        <w:jc w:val="both"/>
        <w:rPr>
          <w:rFonts w:cs="Arial"/>
          <w:color w:val="auto"/>
          <w:sz w:val="24"/>
        </w:rPr>
      </w:pPr>
    </w:p>
    <w:p w:rsidR="009D7B00" w:rsidRPr="00BF7D8F" w:rsidRDefault="009D7B00" w:rsidP="00DE6194">
      <w:pPr>
        <w:pStyle w:val="MoEHeading3"/>
        <w:spacing w:before="0" w:after="0" w:line="240" w:lineRule="auto"/>
        <w:jc w:val="both"/>
        <w:rPr>
          <w:rFonts w:cs="Arial"/>
          <w:color w:val="auto"/>
          <w:sz w:val="24"/>
        </w:rPr>
      </w:pPr>
    </w:p>
    <w:p w:rsidR="00DE6194" w:rsidRDefault="00DE6194" w:rsidP="00DE6194">
      <w:pPr>
        <w:pStyle w:val="MoEHeading3"/>
        <w:spacing w:before="0" w:after="0" w:line="240" w:lineRule="auto"/>
        <w:jc w:val="both"/>
        <w:rPr>
          <w:rFonts w:cs="Arial"/>
          <w:color w:val="auto"/>
          <w:sz w:val="24"/>
        </w:rPr>
      </w:pPr>
    </w:p>
    <w:p w:rsidR="00DE6194" w:rsidRDefault="00DE6194" w:rsidP="00DE6194">
      <w:pPr>
        <w:pStyle w:val="MoEHeading3"/>
        <w:spacing w:before="0" w:after="0" w:line="240" w:lineRule="auto"/>
        <w:jc w:val="both"/>
        <w:rPr>
          <w:rFonts w:cs="Arial"/>
          <w:color w:val="auto"/>
          <w:sz w:val="24"/>
        </w:rPr>
      </w:pPr>
    </w:p>
    <w:p w:rsidR="00DE6194" w:rsidRDefault="00DE6194" w:rsidP="00DE6194">
      <w:pPr>
        <w:pStyle w:val="MoEHeading3"/>
        <w:spacing w:before="0" w:after="0" w:line="240" w:lineRule="auto"/>
        <w:jc w:val="both"/>
        <w:rPr>
          <w:rFonts w:cs="Arial"/>
          <w:color w:val="0070C0"/>
          <w:sz w:val="24"/>
        </w:rPr>
      </w:pPr>
    </w:p>
    <w:p w:rsidR="009D7B00" w:rsidRPr="00DE6194" w:rsidRDefault="009D7B00" w:rsidP="00DE6194">
      <w:pPr>
        <w:pStyle w:val="MoEHeading3"/>
        <w:spacing w:before="0" w:after="0" w:line="240" w:lineRule="auto"/>
        <w:jc w:val="both"/>
        <w:rPr>
          <w:rFonts w:cs="Arial"/>
          <w:color w:val="0070C0"/>
          <w:sz w:val="24"/>
        </w:rPr>
      </w:pPr>
      <w:r w:rsidRPr="00DE6194">
        <w:rPr>
          <w:rFonts w:cs="Arial"/>
          <w:color w:val="0070C0"/>
          <w:sz w:val="24"/>
        </w:rPr>
        <w:t>Considerations to inform the level of the per-</w:t>
      </w:r>
      <w:r w:rsidR="00A42349">
        <w:rPr>
          <w:rFonts w:cs="Arial"/>
          <w:color w:val="0070C0"/>
          <w:sz w:val="24"/>
        </w:rPr>
        <w:t>student</w:t>
      </w:r>
      <w:r w:rsidRPr="00DE6194">
        <w:rPr>
          <w:rFonts w:cs="Arial"/>
          <w:color w:val="0070C0"/>
          <w:sz w:val="24"/>
        </w:rPr>
        <w:t xml:space="preserve"> funding amount</w:t>
      </w:r>
    </w:p>
    <w:p w:rsidR="00DE6194" w:rsidRPr="00DE6194" w:rsidRDefault="00DE6194" w:rsidP="00DE6194">
      <w:pPr>
        <w:pStyle w:val="MoEBodyText"/>
        <w:spacing w:after="0"/>
        <w:rPr>
          <w:color w:val="0070C0"/>
        </w:rPr>
      </w:pPr>
    </w:p>
    <w:p w:rsidR="009D7B00" w:rsidRPr="00DE6194" w:rsidRDefault="009D7B00" w:rsidP="00DE6194">
      <w:pPr>
        <w:contextualSpacing/>
        <w:jc w:val="both"/>
        <w:rPr>
          <w:rFonts w:ascii="Arial" w:hAnsi="Arial" w:cs="Arial"/>
          <w:b/>
          <w:i/>
          <w:color w:val="0070C0"/>
          <w:sz w:val="22"/>
          <w:szCs w:val="22"/>
        </w:rPr>
      </w:pPr>
      <w:r w:rsidRPr="00DE6194">
        <w:rPr>
          <w:rFonts w:ascii="Arial" w:hAnsi="Arial" w:cs="Arial"/>
          <w:b/>
          <w:i/>
          <w:color w:val="0070C0"/>
          <w:sz w:val="22"/>
          <w:szCs w:val="22"/>
        </w:rPr>
        <w:t>Size of the teaching and learning challenge</w:t>
      </w:r>
    </w:p>
    <w:p w:rsidR="009D7B00" w:rsidRPr="00435205" w:rsidRDefault="009D7B00" w:rsidP="00DE6194">
      <w:pPr>
        <w:contextualSpacing/>
        <w:jc w:val="both"/>
        <w:rPr>
          <w:rFonts w:ascii="Arial" w:hAnsi="Arial" w:cs="Arial"/>
          <w:b/>
          <w:i/>
          <w:sz w:val="22"/>
          <w:szCs w:val="22"/>
        </w:rPr>
      </w:pPr>
    </w:p>
    <w:p w:rsidR="00144E1A" w:rsidRPr="00BF7D8F" w:rsidRDefault="009D7B00" w:rsidP="00144E1A">
      <w:pPr>
        <w:contextualSpacing/>
        <w:jc w:val="both"/>
        <w:rPr>
          <w:rFonts w:ascii="Arial" w:hAnsi="Arial" w:cs="Arial"/>
          <w:sz w:val="22"/>
          <w:szCs w:val="22"/>
        </w:rPr>
      </w:pPr>
      <w:r w:rsidRPr="00BF7D8F">
        <w:rPr>
          <w:rFonts w:ascii="Arial" w:hAnsi="Arial" w:cs="Arial"/>
          <w:sz w:val="22"/>
          <w:szCs w:val="22"/>
        </w:rPr>
        <w:t xml:space="preserve">We have considered how the curriculum design and understanding </w:t>
      </w:r>
      <w:r w:rsidR="00A42349">
        <w:rPr>
          <w:rFonts w:ascii="Arial" w:hAnsi="Arial" w:cs="Arial"/>
          <w:sz w:val="22"/>
          <w:szCs w:val="22"/>
        </w:rPr>
        <w:t xml:space="preserve">of </w:t>
      </w:r>
      <w:r w:rsidRPr="00BF7D8F">
        <w:rPr>
          <w:rFonts w:ascii="Arial" w:hAnsi="Arial" w:cs="Arial"/>
          <w:sz w:val="22"/>
          <w:szCs w:val="22"/>
        </w:rPr>
        <w:t xml:space="preserve">a ‘years worth of progress’ might </w:t>
      </w:r>
      <w:r w:rsidR="00144E1A">
        <w:rPr>
          <w:rFonts w:ascii="Arial" w:hAnsi="Arial" w:cs="Arial"/>
          <w:sz w:val="22"/>
          <w:szCs w:val="22"/>
        </w:rPr>
        <w:t>guide the design of a per-</w:t>
      </w:r>
      <w:r w:rsidR="00691082">
        <w:rPr>
          <w:rFonts w:ascii="Arial" w:hAnsi="Arial" w:cs="Arial"/>
          <w:sz w:val="22"/>
          <w:szCs w:val="22"/>
        </w:rPr>
        <w:t xml:space="preserve">child </w:t>
      </w:r>
      <w:r w:rsidR="00144E1A">
        <w:rPr>
          <w:rFonts w:ascii="Arial" w:hAnsi="Arial" w:cs="Arial"/>
          <w:sz w:val="22"/>
          <w:szCs w:val="22"/>
        </w:rPr>
        <w:t xml:space="preserve">funding amount that is aligned </w:t>
      </w:r>
      <w:r w:rsidR="00144E1A" w:rsidRPr="00BF7D8F">
        <w:rPr>
          <w:rFonts w:ascii="Arial" w:hAnsi="Arial" w:cs="Arial"/>
          <w:sz w:val="22"/>
          <w:szCs w:val="22"/>
        </w:rPr>
        <w:t>to the size of the teaching and learning challenge and children and young people’s need</w:t>
      </w:r>
      <w:r w:rsidR="00144E1A">
        <w:rPr>
          <w:rFonts w:ascii="Arial" w:hAnsi="Arial" w:cs="Arial"/>
          <w:sz w:val="22"/>
          <w:szCs w:val="22"/>
        </w:rPr>
        <w:t>s</w:t>
      </w:r>
      <w:r w:rsidR="00144E1A" w:rsidRPr="00BF7D8F">
        <w:rPr>
          <w:rFonts w:ascii="Arial" w:hAnsi="Arial" w:cs="Arial"/>
          <w:sz w:val="22"/>
          <w:szCs w:val="22"/>
        </w:rPr>
        <w:t xml:space="preserve"> at each stage of their schooling journey.  We </w:t>
      </w:r>
      <w:r w:rsidR="00144E1A">
        <w:rPr>
          <w:rFonts w:ascii="Arial" w:hAnsi="Arial" w:cs="Arial"/>
          <w:sz w:val="22"/>
          <w:szCs w:val="22"/>
        </w:rPr>
        <w:t xml:space="preserve">have defined the teaching and learning challenge broadly, including </w:t>
      </w:r>
      <w:r w:rsidR="00144E1A" w:rsidRPr="00BF7D8F">
        <w:rPr>
          <w:rFonts w:ascii="Arial" w:hAnsi="Arial" w:cs="Arial"/>
          <w:sz w:val="22"/>
          <w:szCs w:val="22"/>
        </w:rPr>
        <w:t xml:space="preserve">requirements for assessment to support learning and progress, and for educational leadership. </w:t>
      </w:r>
    </w:p>
    <w:p w:rsidR="00144E1A" w:rsidRDefault="00144E1A" w:rsidP="00DE6194">
      <w:pPr>
        <w:contextualSpacing/>
        <w:jc w:val="both"/>
        <w:rPr>
          <w:rFonts w:ascii="Arial" w:hAnsi="Arial" w:cs="Arial"/>
          <w:sz w:val="22"/>
          <w:szCs w:val="22"/>
        </w:rPr>
      </w:pPr>
    </w:p>
    <w:p w:rsidR="009D7B00" w:rsidRDefault="00144E1A" w:rsidP="00DE6194">
      <w:pPr>
        <w:spacing w:line="276" w:lineRule="auto"/>
        <w:contextualSpacing/>
        <w:rPr>
          <w:rFonts w:ascii="Arial" w:hAnsi="Arial" w:cs="Arial"/>
          <w:sz w:val="22"/>
          <w:szCs w:val="22"/>
        </w:rPr>
      </w:pPr>
      <w:r>
        <w:rPr>
          <w:rFonts w:ascii="Arial" w:hAnsi="Arial" w:cs="Arial"/>
          <w:sz w:val="22"/>
          <w:szCs w:val="22"/>
        </w:rPr>
        <w:t>W</w:t>
      </w:r>
      <w:r w:rsidR="009D7B00" w:rsidRPr="008433CA">
        <w:rPr>
          <w:rFonts w:ascii="Arial" w:hAnsi="Arial" w:cs="Arial"/>
          <w:sz w:val="22"/>
          <w:szCs w:val="22"/>
        </w:rPr>
        <w:t>e know</w:t>
      </w:r>
      <w:r w:rsidR="00A42349">
        <w:rPr>
          <w:rFonts w:ascii="Arial" w:hAnsi="Arial" w:cs="Arial"/>
          <w:sz w:val="22"/>
          <w:szCs w:val="22"/>
        </w:rPr>
        <w:t xml:space="preserve"> </w:t>
      </w:r>
      <w:r w:rsidR="00532F22">
        <w:rPr>
          <w:rFonts w:ascii="Arial" w:hAnsi="Arial" w:cs="Arial"/>
          <w:sz w:val="22"/>
          <w:szCs w:val="22"/>
        </w:rPr>
        <w:t>that</w:t>
      </w:r>
      <w:r w:rsidR="009D7B00" w:rsidRPr="008433CA">
        <w:rPr>
          <w:rFonts w:ascii="Arial" w:hAnsi="Arial" w:cs="Arial"/>
          <w:sz w:val="22"/>
          <w:szCs w:val="22"/>
        </w:rPr>
        <w:t>:</w:t>
      </w:r>
    </w:p>
    <w:p w:rsidR="00DE6194" w:rsidRPr="008433CA" w:rsidRDefault="00DE6194" w:rsidP="00DE6194">
      <w:pPr>
        <w:spacing w:line="276" w:lineRule="auto"/>
        <w:contextualSpacing/>
        <w:rPr>
          <w:rFonts w:ascii="Arial" w:hAnsi="Arial" w:cs="Arial"/>
          <w:sz w:val="22"/>
          <w:szCs w:val="22"/>
        </w:rPr>
      </w:pPr>
    </w:p>
    <w:p w:rsidR="009D7B00" w:rsidRDefault="00144E1A" w:rsidP="007A7B02">
      <w:pPr>
        <w:pStyle w:val="ListParagraph"/>
        <w:numPr>
          <w:ilvl w:val="0"/>
          <w:numId w:val="4"/>
        </w:numPr>
        <w:ind w:left="568" w:hanging="284"/>
        <w:contextualSpacing/>
        <w:jc w:val="both"/>
        <w:rPr>
          <w:rFonts w:ascii="Arial" w:hAnsi="Arial" w:cs="Arial"/>
        </w:rPr>
      </w:pPr>
      <w:r>
        <w:rPr>
          <w:rFonts w:ascii="Arial" w:hAnsi="Arial" w:cs="Arial"/>
        </w:rPr>
        <w:t>S</w:t>
      </w:r>
      <w:r w:rsidR="009D7B00" w:rsidRPr="008433CA">
        <w:rPr>
          <w:rFonts w:ascii="Arial" w:hAnsi="Arial" w:cs="Arial"/>
        </w:rPr>
        <w:t>chools</w:t>
      </w:r>
      <w:r w:rsidR="00D30EE2">
        <w:rPr>
          <w:rFonts w:ascii="Arial" w:hAnsi="Arial" w:cs="Arial"/>
        </w:rPr>
        <w:t>,</w:t>
      </w:r>
      <w:r w:rsidR="009D7B00" w:rsidRPr="008433CA">
        <w:rPr>
          <w:rFonts w:ascii="Arial" w:hAnsi="Arial" w:cs="Arial"/>
        </w:rPr>
        <w:t xml:space="preserve"> </w:t>
      </w:r>
      <w:proofErr w:type="gramStart"/>
      <w:r w:rsidR="009D7B00" w:rsidRPr="008433CA">
        <w:rPr>
          <w:rFonts w:ascii="Arial" w:hAnsi="Arial" w:cs="Arial"/>
        </w:rPr>
        <w:t>kura</w:t>
      </w:r>
      <w:proofErr w:type="gramEnd"/>
      <w:r w:rsidR="009D7B00" w:rsidRPr="008433CA">
        <w:rPr>
          <w:rFonts w:ascii="Arial" w:hAnsi="Arial" w:cs="Arial"/>
        </w:rPr>
        <w:t xml:space="preserve"> </w:t>
      </w:r>
      <w:r w:rsidR="00D30EE2">
        <w:rPr>
          <w:rFonts w:ascii="Arial" w:hAnsi="Arial" w:cs="Arial"/>
        </w:rPr>
        <w:t xml:space="preserve">and </w:t>
      </w:r>
      <w:proofErr w:type="spellStart"/>
      <w:r w:rsidR="00D30EE2">
        <w:rPr>
          <w:rFonts w:ascii="Arial" w:hAnsi="Arial" w:cs="Arial"/>
        </w:rPr>
        <w:t>CoL</w:t>
      </w:r>
      <w:proofErr w:type="spellEnd"/>
      <w:r w:rsidR="00D30EE2">
        <w:rPr>
          <w:rFonts w:ascii="Arial" w:hAnsi="Arial" w:cs="Arial"/>
        </w:rPr>
        <w:t xml:space="preserve"> </w:t>
      </w:r>
      <w:r w:rsidR="009D7B00" w:rsidRPr="008433CA">
        <w:rPr>
          <w:rFonts w:ascii="Arial" w:hAnsi="Arial" w:cs="Arial"/>
        </w:rPr>
        <w:t>are faced with making multiple and complex decisions many times a day as children and young pe</w:t>
      </w:r>
      <w:r w:rsidR="00DE6194">
        <w:rPr>
          <w:rFonts w:ascii="Arial" w:hAnsi="Arial" w:cs="Arial"/>
        </w:rPr>
        <w:t>ople pass through their classes</w:t>
      </w:r>
      <w:r w:rsidR="004334FD">
        <w:rPr>
          <w:rFonts w:ascii="Arial" w:hAnsi="Arial" w:cs="Arial"/>
        </w:rPr>
        <w:t>.</w:t>
      </w:r>
      <w:r w:rsidR="009D7B00" w:rsidRPr="008433CA">
        <w:rPr>
          <w:rFonts w:ascii="Arial" w:hAnsi="Arial" w:cs="Arial"/>
        </w:rPr>
        <w:t xml:space="preserve"> </w:t>
      </w:r>
    </w:p>
    <w:p w:rsidR="00DE6194" w:rsidRPr="00DE6194" w:rsidRDefault="00DE6194" w:rsidP="00144E1A">
      <w:pPr>
        <w:spacing w:line="276" w:lineRule="auto"/>
        <w:ind w:left="284"/>
        <w:contextualSpacing/>
        <w:jc w:val="both"/>
        <w:rPr>
          <w:rFonts w:ascii="Arial" w:hAnsi="Arial" w:cs="Arial"/>
        </w:rPr>
      </w:pPr>
    </w:p>
    <w:p w:rsidR="009D7B00" w:rsidRDefault="009D7B00" w:rsidP="007A7B02">
      <w:pPr>
        <w:pStyle w:val="ListParagraph"/>
        <w:numPr>
          <w:ilvl w:val="0"/>
          <w:numId w:val="4"/>
        </w:numPr>
        <w:ind w:left="568" w:hanging="284"/>
        <w:contextualSpacing/>
        <w:jc w:val="both"/>
        <w:rPr>
          <w:rFonts w:ascii="Arial" w:hAnsi="Arial" w:cs="Arial"/>
        </w:rPr>
      </w:pPr>
      <w:r w:rsidRPr="007A7B02">
        <w:rPr>
          <w:rFonts w:ascii="Arial" w:hAnsi="Arial" w:cs="Arial"/>
        </w:rPr>
        <w:t>The New Zealand Curriculum</w:t>
      </w:r>
      <w:r w:rsidRPr="008433CA">
        <w:rPr>
          <w:rFonts w:ascii="Arial" w:hAnsi="Arial" w:cs="Arial"/>
        </w:rPr>
        <w:t xml:space="preserve"> and </w:t>
      </w:r>
      <w:r w:rsidRPr="007A7B02">
        <w:rPr>
          <w:rFonts w:ascii="Arial" w:hAnsi="Arial" w:cs="Arial"/>
        </w:rPr>
        <w:t xml:space="preserve">Te Marautanga o Aoteroa </w:t>
      </w:r>
      <w:r w:rsidRPr="008433CA">
        <w:rPr>
          <w:rFonts w:ascii="Arial" w:hAnsi="Arial" w:cs="Arial"/>
        </w:rPr>
        <w:t>(the national curricul</w:t>
      </w:r>
      <w:r w:rsidR="00144E1A">
        <w:rPr>
          <w:rFonts w:ascii="Arial" w:hAnsi="Arial" w:cs="Arial"/>
        </w:rPr>
        <w:t>a</w:t>
      </w:r>
      <w:r w:rsidRPr="008433CA">
        <w:rPr>
          <w:rFonts w:ascii="Arial" w:hAnsi="Arial" w:cs="Arial"/>
        </w:rPr>
        <w:t xml:space="preserve">) specify the learning outcomes in eight levels of the </w:t>
      </w:r>
      <w:r w:rsidR="00144E1A">
        <w:rPr>
          <w:rFonts w:ascii="Arial" w:hAnsi="Arial" w:cs="Arial"/>
        </w:rPr>
        <w:t>eight</w:t>
      </w:r>
      <w:r w:rsidRPr="008433CA">
        <w:rPr>
          <w:rFonts w:ascii="Arial" w:hAnsi="Arial" w:cs="Arial"/>
        </w:rPr>
        <w:t xml:space="preserve"> learning areas </w:t>
      </w:r>
      <w:r w:rsidR="00144E1A">
        <w:rPr>
          <w:rFonts w:ascii="Arial" w:hAnsi="Arial" w:cs="Arial"/>
        </w:rPr>
        <w:t xml:space="preserve">of the </w:t>
      </w:r>
      <w:r w:rsidRPr="007A7B02">
        <w:rPr>
          <w:rFonts w:ascii="Arial" w:hAnsi="Arial" w:cs="Arial"/>
        </w:rPr>
        <w:t>New Zealand Curriculum</w:t>
      </w:r>
      <w:r w:rsidR="00144E1A" w:rsidRPr="007A7B02">
        <w:rPr>
          <w:rFonts w:ascii="Arial" w:hAnsi="Arial" w:cs="Arial"/>
        </w:rPr>
        <w:t xml:space="preserve"> </w:t>
      </w:r>
      <w:r w:rsidRPr="008433CA">
        <w:rPr>
          <w:rFonts w:ascii="Arial" w:hAnsi="Arial" w:cs="Arial"/>
        </w:rPr>
        <w:t xml:space="preserve">and </w:t>
      </w:r>
      <w:r w:rsidR="00144E1A">
        <w:rPr>
          <w:rFonts w:ascii="Arial" w:hAnsi="Arial" w:cs="Arial"/>
        </w:rPr>
        <w:t>nine</w:t>
      </w:r>
      <w:r w:rsidRPr="008433CA">
        <w:rPr>
          <w:rFonts w:ascii="Arial" w:hAnsi="Arial" w:cs="Arial"/>
        </w:rPr>
        <w:t xml:space="preserve"> learning areas </w:t>
      </w:r>
      <w:r w:rsidR="00144E1A">
        <w:rPr>
          <w:rFonts w:ascii="Arial" w:hAnsi="Arial" w:cs="Arial"/>
        </w:rPr>
        <w:t xml:space="preserve">of </w:t>
      </w:r>
      <w:r w:rsidRPr="007A7B02">
        <w:rPr>
          <w:rFonts w:ascii="Arial" w:hAnsi="Arial" w:cs="Arial"/>
        </w:rPr>
        <w:t>Te Marautanga o Aoteroa</w:t>
      </w:r>
      <w:r w:rsidRPr="008433CA">
        <w:rPr>
          <w:rFonts w:ascii="Arial" w:hAnsi="Arial" w:cs="Arial"/>
        </w:rPr>
        <w:t xml:space="preserve"> to indicate progression and continuity of learning throughout sc</w:t>
      </w:r>
      <w:r w:rsidR="00DE6194">
        <w:rPr>
          <w:rFonts w:ascii="Arial" w:hAnsi="Arial" w:cs="Arial"/>
        </w:rPr>
        <w:t xml:space="preserve">hooling from </w:t>
      </w:r>
      <w:r w:rsidR="00144E1A">
        <w:rPr>
          <w:rFonts w:ascii="Arial" w:hAnsi="Arial" w:cs="Arial"/>
        </w:rPr>
        <w:t>Y</w:t>
      </w:r>
      <w:r w:rsidR="00DE6194">
        <w:rPr>
          <w:rFonts w:ascii="Arial" w:hAnsi="Arial" w:cs="Arial"/>
        </w:rPr>
        <w:t xml:space="preserve">ear 1 to </w:t>
      </w:r>
      <w:r w:rsidR="00144E1A">
        <w:rPr>
          <w:rFonts w:ascii="Arial" w:hAnsi="Arial" w:cs="Arial"/>
        </w:rPr>
        <w:t>Y</w:t>
      </w:r>
      <w:r w:rsidR="00DE6194">
        <w:rPr>
          <w:rFonts w:ascii="Arial" w:hAnsi="Arial" w:cs="Arial"/>
        </w:rPr>
        <w:t>ear 13</w:t>
      </w:r>
      <w:r w:rsidR="004334FD">
        <w:rPr>
          <w:rFonts w:ascii="Arial" w:hAnsi="Arial" w:cs="Arial"/>
        </w:rPr>
        <w:t>.</w:t>
      </w:r>
      <w:r w:rsidRPr="008433CA">
        <w:rPr>
          <w:rFonts w:ascii="Arial" w:hAnsi="Arial" w:cs="Arial"/>
        </w:rPr>
        <w:t xml:space="preserve"> </w:t>
      </w:r>
    </w:p>
    <w:p w:rsidR="002E067B" w:rsidRPr="002E067B" w:rsidRDefault="002E067B" w:rsidP="00144E1A">
      <w:pPr>
        <w:pStyle w:val="ListParagraph"/>
        <w:jc w:val="both"/>
        <w:rPr>
          <w:rFonts w:ascii="Arial" w:hAnsi="Arial" w:cs="Arial"/>
        </w:rPr>
      </w:pPr>
    </w:p>
    <w:p w:rsidR="009D7B00" w:rsidRDefault="00144E1A" w:rsidP="007A7B02">
      <w:pPr>
        <w:pStyle w:val="ListParagraph"/>
        <w:numPr>
          <w:ilvl w:val="0"/>
          <w:numId w:val="3"/>
        </w:numPr>
        <w:ind w:left="568" w:hanging="284"/>
        <w:jc w:val="both"/>
        <w:rPr>
          <w:rFonts w:ascii="Arial" w:hAnsi="Arial" w:cs="Arial"/>
        </w:rPr>
      </w:pPr>
      <w:r>
        <w:rPr>
          <w:rFonts w:ascii="Arial" w:hAnsi="Arial" w:cs="Arial"/>
        </w:rPr>
        <w:t>T</w:t>
      </w:r>
      <w:r w:rsidR="009D7B00" w:rsidRPr="008433CA">
        <w:rPr>
          <w:rFonts w:ascii="Arial" w:hAnsi="Arial" w:cs="Arial"/>
        </w:rPr>
        <w:t>he curriculum was designed to support an incremental approach to learning throughout the schooling journey – i</w:t>
      </w:r>
      <w:r w:rsidR="008D4580">
        <w:rPr>
          <w:rFonts w:ascii="Arial" w:hAnsi="Arial" w:cs="Arial"/>
        </w:rPr>
        <w:t>.</w:t>
      </w:r>
      <w:r w:rsidR="009D7B00" w:rsidRPr="008433CA">
        <w:rPr>
          <w:rFonts w:ascii="Arial" w:hAnsi="Arial" w:cs="Arial"/>
        </w:rPr>
        <w:t>e</w:t>
      </w:r>
      <w:r w:rsidR="008D4580">
        <w:rPr>
          <w:rFonts w:ascii="Arial" w:hAnsi="Arial" w:cs="Arial"/>
        </w:rPr>
        <w:t>.</w:t>
      </w:r>
      <w:r w:rsidR="009D7B00" w:rsidRPr="008433CA">
        <w:rPr>
          <w:rFonts w:ascii="Arial" w:hAnsi="Arial" w:cs="Arial"/>
        </w:rPr>
        <w:t xml:space="preserve"> attainment and progress is organised along a steady upwards</w:t>
      </w:r>
      <w:r w:rsidR="00DE6194">
        <w:rPr>
          <w:rFonts w:ascii="Arial" w:hAnsi="Arial" w:cs="Arial"/>
        </w:rPr>
        <w:t xml:space="preserve"> trajectory (on paper at least)</w:t>
      </w:r>
      <w:r w:rsidR="004334FD">
        <w:rPr>
          <w:rFonts w:ascii="Arial" w:hAnsi="Arial" w:cs="Arial"/>
        </w:rPr>
        <w:t>.</w:t>
      </w:r>
      <w:r w:rsidR="009D7B00" w:rsidRPr="008433CA">
        <w:rPr>
          <w:rFonts w:ascii="Arial" w:hAnsi="Arial" w:cs="Arial"/>
        </w:rPr>
        <w:t xml:space="preserve">  </w:t>
      </w:r>
    </w:p>
    <w:p w:rsidR="00DE6194" w:rsidRPr="008433CA" w:rsidRDefault="00DE6194" w:rsidP="00144E1A">
      <w:pPr>
        <w:pStyle w:val="ListParagraph"/>
        <w:spacing w:line="276" w:lineRule="auto"/>
        <w:contextualSpacing/>
        <w:jc w:val="both"/>
        <w:rPr>
          <w:rFonts w:ascii="Arial" w:hAnsi="Arial" w:cs="Arial"/>
        </w:rPr>
      </w:pPr>
    </w:p>
    <w:p w:rsidR="009D7B00" w:rsidRDefault="00144E1A" w:rsidP="007A7B02">
      <w:pPr>
        <w:pStyle w:val="ListParagraph"/>
        <w:numPr>
          <w:ilvl w:val="0"/>
          <w:numId w:val="3"/>
        </w:numPr>
        <w:ind w:left="568" w:hanging="284"/>
        <w:jc w:val="both"/>
        <w:rPr>
          <w:rFonts w:ascii="Arial" w:hAnsi="Arial" w:cs="Arial"/>
        </w:rPr>
      </w:pPr>
      <w:r>
        <w:rPr>
          <w:rFonts w:ascii="Arial" w:hAnsi="Arial" w:cs="Arial"/>
        </w:rPr>
        <w:t>S</w:t>
      </w:r>
      <w:r w:rsidR="009D7B00" w:rsidRPr="008433CA">
        <w:rPr>
          <w:rFonts w:ascii="Arial" w:hAnsi="Arial" w:cs="Arial"/>
        </w:rPr>
        <w:t xml:space="preserve">chools tailor key competencies to address the specific needs of </w:t>
      </w:r>
      <w:r w:rsidR="00691082" w:rsidRPr="00691082">
        <w:rPr>
          <w:rFonts w:ascii="Arial" w:hAnsi="Arial" w:cs="Arial"/>
        </w:rPr>
        <w:t>children and young people</w:t>
      </w:r>
      <w:r w:rsidR="002E067B">
        <w:rPr>
          <w:rFonts w:ascii="Arial" w:hAnsi="Arial" w:cs="Arial"/>
        </w:rPr>
        <w:t>,</w:t>
      </w:r>
      <w:r w:rsidR="009D7B00" w:rsidRPr="008433CA">
        <w:rPr>
          <w:rFonts w:ascii="Arial" w:hAnsi="Arial" w:cs="Arial"/>
        </w:rPr>
        <w:t xml:space="preserve"> and </w:t>
      </w:r>
      <w:r>
        <w:rPr>
          <w:rFonts w:ascii="Arial" w:hAnsi="Arial" w:cs="Arial"/>
        </w:rPr>
        <w:t xml:space="preserve">the competencies </w:t>
      </w:r>
      <w:r w:rsidR="009D7B00" w:rsidRPr="008433CA">
        <w:rPr>
          <w:rFonts w:ascii="Arial" w:hAnsi="Arial" w:cs="Arial"/>
        </w:rPr>
        <w:t>should only be developed within th</w:t>
      </w:r>
      <w:r w:rsidR="00DE6194">
        <w:rPr>
          <w:rFonts w:ascii="Arial" w:hAnsi="Arial" w:cs="Arial"/>
        </w:rPr>
        <w:t>e context of the learning areas</w:t>
      </w:r>
      <w:r w:rsidR="004334FD">
        <w:rPr>
          <w:rFonts w:ascii="Arial" w:hAnsi="Arial" w:cs="Arial"/>
        </w:rPr>
        <w:t>.</w:t>
      </w:r>
      <w:r w:rsidR="009D7B00" w:rsidRPr="008433CA">
        <w:rPr>
          <w:rFonts w:ascii="Arial" w:hAnsi="Arial" w:cs="Arial"/>
        </w:rPr>
        <w:t xml:space="preserve">  </w:t>
      </w:r>
    </w:p>
    <w:p w:rsidR="00DE6194" w:rsidRPr="00DE6194" w:rsidRDefault="00DE6194" w:rsidP="00DE6194">
      <w:pPr>
        <w:spacing w:line="276" w:lineRule="auto"/>
        <w:contextualSpacing/>
        <w:rPr>
          <w:rFonts w:ascii="Arial" w:hAnsi="Arial" w:cs="Arial"/>
        </w:rPr>
      </w:pPr>
    </w:p>
    <w:p w:rsidR="009D7B00" w:rsidRDefault="00144E1A" w:rsidP="007A7B02">
      <w:pPr>
        <w:pStyle w:val="ListParagraph"/>
        <w:numPr>
          <w:ilvl w:val="0"/>
          <w:numId w:val="3"/>
        </w:numPr>
        <w:ind w:left="568" w:hanging="284"/>
        <w:jc w:val="both"/>
        <w:rPr>
          <w:rFonts w:ascii="Arial" w:hAnsi="Arial" w:cs="Arial"/>
        </w:rPr>
      </w:pPr>
      <w:r>
        <w:rPr>
          <w:rFonts w:ascii="Arial" w:hAnsi="Arial" w:cs="Arial"/>
        </w:rPr>
        <w:t>I</w:t>
      </w:r>
      <w:r w:rsidR="009D7B00" w:rsidRPr="008433CA">
        <w:rPr>
          <w:rFonts w:ascii="Arial" w:hAnsi="Arial" w:cs="Arial"/>
        </w:rPr>
        <w:t>n any one class</w:t>
      </w:r>
      <w:r>
        <w:rPr>
          <w:rFonts w:ascii="Arial" w:hAnsi="Arial" w:cs="Arial"/>
        </w:rPr>
        <w:t>,</w:t>
      </w:r>
      <w:r w:rsidR="009D7B00" w:rsidRPr="008433CA">
        <w:rPr>
          <w:rFonts w:ascii="Arial" w:hAnsi="Arial" w:cs="Arial"/>
        </w:rPr>
        <w:t xml:space="preserve"> students may be working at a range of levels, both in the different learning areas, and within a single learning area.  Assessment practices will provide insights about </w:t>
      </w:r>
      <w:r w:rsidR="008D4580">
        <w:rPr>
          <w:rFonts w:ascii="Arial" w:hAnsi="Arial" w:cs="Arial"/>
        </w:rPr>
        <w:t>the stage that learners have reached</w:t>
      </w:r>
      <w:r w:rsidR="009D7B00" w:rsidRPr="008433CA">
        <w:rPr>
          <w:rFonts w:ascii="Arial" w:hAnsi="Arial" w:cs="Arial"/>
        </w:rPr>
        <w:t>,</w:t>
      </w:r>
      <w:r w:rsidR="00DE6194">
        <w:rPr>
          <w:rFonts w:ascii="Arial" w:hAnsi="Arial" w:cs="Arial"/>
        </w:rPr>
        <w:t xml:space="preserve"> and for the next learning step</w:t>
      </w:r>
      <w:r w:rsidR="004334FD">
        <w:rPr>
          <w:rFonts w:ascii="Arial" w:hAnsi="Arial" w:cs="Arial"/>
        </w:rPr>
        <w:t>.</w:t>
      </w:r>
      <w:r w:rsidR="009D7B00" w:rsidRPr="008433CA">
        <w:rPr>
          <w:rFonts w:ascii="Arial" w:hAnsi="Arial" w:cs="Arial"/>
        </w:rPr>
        <w:t xml:space="preserve">  </w:t>
      </w:r>
    </w:p>
    <w:p w:rsidR="00DE6194" w:rsidRPr="00DE6194" w:rsidRDefault="00DE6194" w:rsidP="00DE6194">
      <w:pPr>
        <w:spacing w:line="276" w:lineRule="auto"/>
        <w:contextualSpacing/>
        <w:rPr>
          <w:rFonts w:ascii="Arial" w:hAnsi="Arial" w:cs="Arial"/>
        </w:rPr>
      </w:pPr>
    </w:p>
    <w:p w:rsidR="00DE6194" w:rsidRDefault="008D4580" w:rsidP="007A7B02">
      <w:pPr>
        <w:pStyle w:val="ListParagraph"/>
        <w:numPr>
          <w:ilvl w:val="0"/>
          <w:numId w:val="3"/>
        </w:numPr>
        <w:ind w:left="568" w:hanging="284"/>
        <w:jc w:val="both"/>
        <w:rPr>
          <w:rFonts w:ascii="Arial" w:hAnsi="Arial" w:cs="Arial"/>
        </w:rPr>
      </w:pPr>
      <w:r>
        <w:rPr>
          <w:rFonts w:ascii="Arial" w:hAnsi="Arial" w:cs="Arial"/>
        </w:rPr>
        <w:t>Emphasi</w:t>
      </w:r>
      <w:r w:rsidR="009D7B00" w:rsidRPr="008433CA">
        <w:rPr>
          <w:rFonts w:ascii="Arial" w:hAnsi="Arial" w:cs="Arial"/>
        </w:rPr>
        <w:t xml:space="preserve">s on learning expectations </w:t>
      </w:r>
      <w:r>
        <w:rPr>
          <w:rFonts w:ascii="Arial" w:hAnsi="Arial" w:cs="Arial"/>
        </w:rPr>
        <w:t>is</w:t>
      </w:r>
      <w:r w:rsidR="009D7B00" w:rsidRPr="008433CA">
        <w:rPr>
          <w:rFonts w:ascii="Arial" w:hAnsi="Arial" w:cs="Arial"/>
        </w:rPr>
        <w:t xml:space="preserve"> different across the curriculum levels. </w:t>
      </w:r>
    </w:p>
    <w:p w:rsidR="00DE6194" w:rsidRPr="00DE6194" w:rsidRDefault="00DE6194" w:rsidP="00DE6194">
      <w:pPr>
        <w:pStyle w:val="ListParagraph"/>
        <w:rPr>
          <w:rFonts w:ascii="Arial" w:hAnsi="Arial" w:cs="Arial"/>
        </w:rPr>
      </w:pPr>
    </w:p>
    <w:p w:rsidR="00DE6194" w:rsidRDefault="009D7B00" w:rsidP="007A7B02">
      <w:pPr>
        <w:pStyle w:val="ListParagraph"/>
        <w:numPr>
          <w:ilvl w:val="1"/>
          <w:numId w:val="3"/>
        </w:numPr>
        <w:jc w:val="both"/>
        <w:rPr>
          <w:rFonts w:ascii="Arial" w:hAnsi="Arial" w:cs="Arial"/>
        </w:rPr>
      </w:pPr>
      <w:r w:rsidRPr="008433CA">
        <w:rPr>
          <w:rFonts w:ascii="Arial" w:hAnsi="Arial" w:cs="Arial"/>
        </w:rPr>
        <w:t xml:space="preserve">From </w:t>
      </w:r>
      <w:r w:rsidR="004334FD">
        <w:rPr>
          <w:rFonts w:ascii="Arial" w:hAnsi="Arial" w:cs="Arial"/>
        </w:rPr>
        <w:t>Y</w:t>
      </w:r>
      <w:r w:rsidRPr="008433CA">
        <w:rPr>
          <w:rFonts w:ascii="Arial" w:hAnsi="Arial" w:cs="Arial"/>
        </w:rPr>
        <w:t>ear</w:t>
      </w:r>
      <w:r w:rsidR="004334FD">
        <w:rPr>
          <w:rFonts w:ascii="Arial" w:hAnsi="Arial" w:cs="Arial"/>
        </w:rPr>
        <w:t>s</w:t>
      </w:r>
      <w:r w:rsidRPr="008433CA">
        <w:rPr>
          <w:rFonts w:ascii="Arial" w:hAnsi="Arial" w:cs="Arial"/>
        </w:rPr>
        <w:t xml:space="preserve"> 1 to 10 the national curricul</w:t>
      </w:r>
      <w:r w:rsidR="004334FD">
        <w:rPr>
          <w:rFonts w:ascii="Arial" w:hAnsi="Arial" w:cs="Arial"/>
        </w:rPr>
        <w:t xml:space="preserve">a </w:t>
      </w:r>
      <w:r w:rsidRPr="008433CA">
        <w:rPr>
          <w:rFonts w:ascii="Arial" w:hAnsi="Arial" w:cs="Arial"/>
        </w:rPr>
        <w:t>provide</w:t>
      </w:r>
      <w:r w:rsidR="00F47EEE">
        <w:rPr>
          <w:rFonts w:ascii="Arial" w:hAnsi="Arial" w:cs="Arial"/>
        </w:rPr>
        <w:t>s</w:t>
      </w:r>
      <w:r w:rsidRPr="008433CA">
        <w:rPr>
          <w:rFonts w:ascii="Arial" w:hAnsi="Arial" w:cs="Arial"/>
        </w:rPr>
        <w:t xml:space="preserve"> the basis for what </w:t>
      </w:r>
      <w:r w:rsidR="00691082" w:rsidRPr="00691082">
        <w:rPr>
          <w:rFonts w:ascii="Arial" w:hAnsi="Arial" w:cs="Arial"/>
        </w:rPr>
        <w:t xml:space="preserve">children and young people </w:t>
      </w:r>
      <w:r w:rsidRPr="008433CA">
        <w:rPr>
          <w:rFonts w:ascii="Arial" w:hAnsi="Arial" w:cs="Arial"/>
        </w:rPr>
        <w:t xml:space="preserve">learn.  For example, in </w:t>
      </w:r>
      <w:r w:rsidR="004334FD">
        <w:rPr>
          <w:rFonts w:ascii="Arial" w:hAnsi="Arial" w:cs="Arial"/>
        </w:rPr>
        <w:t>Y</w:t>
      </w:r>
      <w:r w:rsidRPr="008433CA">
        <w:rPr>
          <w:rFonts w:ascii="Arial" w:hAnsi="Arial" w:cs="Arial"/>
        </w:rPr>
        <w:t>ear</w:t>
      </w:r>
      <w:r w:rsidR="004334FD">
        <w:rPr>
          <w:rFonts w:ascii="Arial" w:hAnsi="Arial" w:cs="Arial"/>
        </w:rPr>
        <w:t>s</w:t>
      </w:r>
      <w:r w:rsidRPr="008433CA">
        <w:rPr>
          <w:rFonts w:ascii="Arial" w:hAnsi="Arial" w:cs="Arial"/>
        </w:rPr>
        <w:t xml:space="preserve"> 1 and 2 the emphasis is on establishing the learning foundations so that learners can access the curriculum throughout their schooling.</w:t>
      </w:r>
    </w:p>
    <w:p w:rsidR="009D7B00" w:rsidRPr="008433CA" w:rsidRDefault="009D7B00" w:rsidP="004334FD">
      <w:pPr>
        <w:pStyle w:val="ListParagraph"/>
        <w:spacing w:line="276" w:lineRule="auto"/>
        <w:ind w:left="1440"/>
        <w:contextualSpacing/>
        <w:jc w:val="both"/>
        <w:rPr>
          <w:rFonts w:ascii="Arial" w:hAnsi="Arial" w:cs="Arial"/>
        </w:rPr>
      </w:pPr>
      <w:r w:rsidRPr="008433CA">
        <w:rPr>
          <w:rFonts w:ascii="Arial" w:hAnsi="Arial" w:cs="Arial"/>
        </w:rPr>
        <w:t xml:space="preserve">  </w:t>
      </w:r>
    </w:p>
    <w:p w:rsidR="009D7B00" w:rsidRDefault="009D7B00" w:rsidP="007A7B02">
      <w:pPr>
        <w:pStyle w:val="ListParagraph"/>
        <w:numPr>
          <w:ilvl w:val="1"/>
          <w:numId w:val="4"/>
        </w:numPr>
        <w:ind w:hanging="306"/>
        <w:contextualSpacing/>
        <w:jc w:val="both"/>
        <w:rPr>
          <w:rFonts w:ascii="Arial" w:hAnsi="Arial" w:cs="Arial"/>
        </w:rPr>
      </w:pPr>
      <w:r w:rsidRPr="008433CA">
        <w:rPr>
          <w:rFonts w:ascii="Arial" w:hAnsi="Arial" w:cs="Arial"/>
        </w:rPr>
        <w:t xml:space="preserve">From </w:t>
      </w:r>
      <w:r w:rsidR="004334FD">
        <w:rPr>
          <w:rFonts w:ascii="Arial" w:hAnsi="Arial" w:cs="Arial"/>
        </w:rPr>
        <w:t>Y</w:t>
      </w:r>
      <w:r w:rsidRPr="008433CA">
        <w:rPr>
          <w:rFonts w:ascii="Arial" w:hAnsi="Arial" w:cs="Arial"/>
        </w:rPr>
        <w:t xml:space="preserve">ear 11 onwards </w:t>
      </w:r>
      <w:r w:rsidR="00691082">
        <w:rPr>
          <w:rFonts w:ascii="Arial" w:hAnsi="Arial" w:cs="Arial"/>
        </w:rPr>
        <w:t>young people</w:t>
      </w:r>
      <w:r w:rsidR="00691082" w:rsidRPr="008433CA">
        <w:rPr>
          <w:rFonts w:ascii="Arial" w:hAnsi="Arial" w:cs="Arial"/>
        </w:rPr>
        <w:t xml:space="preserve"> </w:t>
      </w:r>
      <w:r w:rsidRPr="008433CA">
        <w:rPr>
          <w:rFonts w:ascii="Arial" w:hAnsi="Arial" w:cs="Arial"/>
        </w:rPr>
        <w:t>have an opportunity to broaden their subjects and specialise beyond the national curricul</w:t>
      </w:r>
      <w:r w:rsidR="00F47EEE">
        <w:rPr>
          <w:rFonts w:ascii="Arial" w:hAnsi="Arial" w:cs="Arial"/>
        </w:rPr>
        <w:t>a</w:t>
      </w:r>
      <w:r w:rsidRPr="008433CA">
        <w:rPr>
          <w:rFonts w:ascii="Arial" w:hAnsi="Arial" w:cs="Arial"/>
        </w:rPr>
        <w:t xml:space="preserve"> to obtain NCEA qualifications.  The depth </w:t>
      </w:r>
      <w:r w:rsidR="008D4580">
        <w:rPr>
          <w:rFonts w:ascii="Arial" w:hAnsi="Arial" w:cs="Arial"/>
        </w:rPr>
        <w:t>of</w:t>
      </w:r>
      <w:r w:rsidRPr="008433CA">
        <w:rPr>
          <w:rFonts w:ascii="Arial" w:hAnsi="Arial" w:cs="Arial"/>
        </w:rPr>
        <w:t xml:space="preserve"> learning (</w:t>
      </w:r>
      <w:r w:rsidR="004334FD">
        <w:rPr>
          <w:rFonts w:ascii="Arial" w:hAnsi="Arial" w:cs="Arial"/>
        </w:rPr>
        <w:t xml:space="preserve">covering </w:t>
      </w:r>
      <w:r w:rsidRPr="008433CA">
        <w:rPr>
          <w:rFonts w:ascii="Arial" w:hAnsi="Arial" w:cs="Arial"/>
        </w:rPr>
        <w:t>3 curriculum levels in 3 years) and range of subjects (over 45) provided, places p</w:t>
      </w:r>
      <w:r w:rsidR="008D4580">
        <w:rPr>
          <w:rFonts w:ascii="Arial" w:hAnsi="Arial" w:cs="Arial"/>
        </w:rPr>
        <w:t>ressure on teachers and schools</w:t>
      </w:r>
      <w:r w:rsidRPr="008433CA">
        <w:rPr>
          <w:rFonts w:ascii="Arial" w:hAnsi="Arial" w:cs="Arial"/>
        </w:rPr>
        <w:t xml:space="preserve">/kura to meet those expectations.   </w:t>
      </w:r>
    </w:p>
    <w:p w:rsidR="00DE6194" w:rsidRPr="00DE6194" w:rsidRDefault="00DE6194" w:rsidP="007A7B02">
      <w:pPr>
        <w:contextualSpacing/>
        <w:jc w:val="both"/>
        <w:rPr>
          <w:rFonts w:ascii="Arial" w:hAnsi="Arial" w:cs="Arial"/>
        </w:rPr>
      </w:pPr>
    </w:p>
    <w:p w:rsidR="009D7B00" w:rsidRDefault="009D7B00" w:rsidP="007A7B02">
      <w:pPr>
        <w:pStyle w:val="ListParagraph"/>
        <w:numPr>
          <w:ilvl w:val="1"/>
          <w:numId w:val="4"/>
        </w:numPr>
        <w:ind w:hanging="306"/>
        <w:contextualSpacing/>
        <w:jc w:val="both"/>
        <w:rPr>
          <w:rFonts w:ascii="Arial" w:hAnsi="Arial" w:cs="Arial"/>
        </w:rPr>
      </w:pPr>
      <w:r w:rsidRPr="008433CA">
        <w:rPr>
          <w:rFonts w:ascii="Arial" w:hAnsi="Arial" w:cs="Arial"/>
        </w:rPr>
        <w:t xml:space="preserve">Provision from about </w:t>
      </w:r>
      <w:r w:rsidR="004334FD">
        <w:rPr>
          <w:rFonts w:ascii="Arial" w:hAnsi="Arial" w:cs="Arial"/>
        </w:rPr>
        <w:t>Y</w:t>
      </w:r>
      <w:r w:rsidRPr="008433CA">
        <w:rPr>
          <w:rFonts w:ascii="Arial" w:hAnsi="Arial" w:cs="Arial"/>
        </w:rPr>
        <w:t>ear 11 also includes increased experiential learning opportunities, including vocatio</w:t>
      </w:r>
      <w:r w:rsidR="00F47EEE">
        <w:rPr>
          <w:rFonts w:ascii="Arial" w:hAnsi="Arial" w:cs="Arial"/>
        </w:rPr>
        <w:t xml:space="preserve">nal oriented learning, which </w:t>
      </w:r>
      <w:proofErr w:type="spellStart"/>
      <w:r w:rsidR="00F47EEE">
        <w:rPr>
          <w:rFonts w:ascii="Arial" w:hAnsi="Arial" w:cs="Arial"/>
        </w:rPr>
        <w:t>hav</w:t>
      </w:r>
      <w:proofErr w:type="spellEnd"/>
      <w:r w:rsidRPr="008433CA">
        <w:rPr>
          <w:rFonts w:ascii="Arial" w:hAnsi="Arial" w:cs="Arial"/>
        </w:rPr>
        <w:t xml:space="preserve"> particular costs of provision.  </w:t>
      </w:r>
    </w:p>
    <w:p w:rsidR="00DE6194" w:rsidRPr="00DE6194" w:rsidRDefault="00DE6194" w:rsidP="00DE6194">
      <w:pPr>
        <w:spacing w:line="276" w:lineRule="auto"/>
        <w:contextualSpacing/>
        <w:rPr>
          <w:rFonts w:ascii="Arial" w:hAnsi="Arial" w:cs="Arial"/>
        </w:rPr>
      </w:pPr>
    </w:p>
    <w:p w:rsidR="009D7B00" w:rsidRDefault="009D7B00" w:rsidP="00DE6194">
      <w:pPr>
        <w:spacing w:line="276" w:lineRule="auto"/>
        <w:contextualSpacing/>
        <w:rPr>
          <w:rFonts w:ascii="Arial" w:hAnsi="Arial" w:cs="Arial"/>
          <w:sz w:val="22"/>
          <w:szCs w:val="22"/>
        </w:rPr>
      </w:pPr>
      <w:r>
        <w:rPr>
          <w:rFonts w:ascii="Arial" w:hAnsi="Arial" w:cs="Arial"/>
          <w:sz w:val="22"/>
          <w:szCs w:val="22"/>
        </w:rPr>
        <w:t xml:space="preserve">But there are gaps in our knowledge and new challenges </w:t>
      </w:r>
      <w:r w:rsidR="00532F22">
        <w:rPr>
          <w:rFonts w:ascii="Arial" w:hAnsi="Arial" w:cs="Arial"/>
          <w:sz w:val="22"/>
          <w:szCs w:val="22"/>
        </w:rPr>
        <w:t xml:space="preserve">that </w:t>
      </w:r>
      <w:r>
        <w:rPr>
          <w:rFonts w:ascii="Arial" w:hAnsi="Arial" w:cs="Arial"/>
          <w:sz w:val="22"/>
          <w:szCs w:val="22"/>
        </w:rPr>
        <w:t>have implications for such a design, for example</w:t>
      </w:r>
      <w:r w:rsidRPr="008433CA">
        <w:rPr>
          <w:rFonts w:ascii="Arial" w:hAnsi="Arial" w:cs="Arial"/>
          <w:sz w:val="22"/>
          <w:szCs w:val="22"/>
        </w:rPr>
        <w:t>:</w:t>
      </w:r>
    </w:p>
    <w:p w:rsidR="00DE6194" w:rsidRPr="008433CA" w:rsidRDefault="00DE6194" w:rsidP="00DE6194">
      <w:pPr>
        <w:spacing w:line="276" w:lineRule="auto"/>
        <w:contextualSpacing/>
        <w:rPr>
          <w:rFonts w:ascii="Arial" w:hAnsi="Arial" w:cs="Arial"/>
          <w:sz w:val="22"/>
          <w:szCs w:val="22"/>
        </w:rPr>
      </w:pPr>
    </w:p>
    <w:p w:rsidR="009D7B00" w:rsidRDefault="009D7B00" w:rsidP="007A7B02">
      <w:pPr>
        <w:pStyle w:val="ListParagraph"/>
        <w:numPr>
          <w:ilvl w:val="0"/>
          <w:numId w:val="3"/>
        </w:numPr>
        <w:ind w:left="568" w:hanging="284"/>
        <w:jc w:val="both"/>
        <w:rPr>
          <w:rFonts w:ascii="Arial" w:hAnsi="Arial" w:cs="Arial"/>
        </w:rPr>
      </w:pPr>
      <w:r w:rsidRPr="008433CA">
        <w:rPr>
          <w:rFonts w:ascii="Arial" w:hAnsi="Arial" w:cs="Arial"/>
        </w:rPr>
        <w:t>There is much to learn about how the national curricul</w:t>
      </w:r>
      <w:r w:rsidR="004334FD">
        <w:rPr>
          <w:rFonts w:ascii="Arial" w:hAnsi="Arial" w:cs="Arial"/>
        </w:rPr>
        <w:t>a</w:t>
      </w:r>
      <w:r w:rsidRPr="008433CA">
        <w:rPr>
          <w:rFonts w:ascii="Arial" w:hAnsi="Arial" w:cs="Arial"/>
        </w:rPr>
        <w:t xml:space="preserve"> impacts on transition points, and </w:t>
      </w:r>
      <w:r w:rsidR="008D4580">
        <w:rPr>
          <w:rFonts w:ascii="Arial" w:hAnsi="Arial" w:cs="Arial"/>
        </w:rPr>
        <w:t xml:space="preserve">on </w:t>
      </w:r>
      <w:r>
        <w:rPr>
          <w:rFonts w:ascii="Arial" w:hAnsi="Arial" w:cs="Arial"/>
        </w:rPr>
        <w:t xml:space="preserve">children </w:t>
      </w:r>
      <w:r w:rsidR="008D4580">
        <w:rPr>
          <w:rFonts w:ascii="Arial" w:hAnsi="Arial" w:cs="Arial"/>
        </w:rPr>
        <w:t>and</w:t>
      </w:r>
      <w:r>
        <w:rPr>
          <w:rFonts w:ascii="Arial" w:hAnsi="Arial" w:cs="Arial"/>
        </w:rPr>
        <w:t xml:space="preserve"> young people’s </w:t>
      </w:r>
      <w:r w:rsidRPr="008433CA">
        <w:rPr>
          <w:rFonts w:ascii="Arial" w:hAnsi="Arial" w:cs="Arial"/>
        </w:rPr>
        <w:t xml:space="preserve">overall progress.  There </w:t>
      </w:r>
      <w:r>
        <w:rPr>
          <w:rFonts w:ascii="Arial" w:hAnsi="Arial" w:cs="Arial"/>
        </w:rPr>
        <w:t xml:space="preserve">are </w:t>
      </w:r>
      <w:r w:rsidR="008D4580">
        <w:rPr>
          <w:rFonts w:ascii="Arial" w:hAnsi="Arial" w:cs="Arial"/>
        </w:rPr>
        <w:t>long held views that transition</w:t>
      </w:r>
      <w:r w:rsidRPr="008433CA">
        <w:rPr>
          <w:rFonts w:ascii="Arial" w:hAnsi="Arial" w:cs="Arial"/>
        </w:rPr>
        <w:t xml:space="preserve"> points from ECE to schooling, </w:t>
      </w:r>
      <w:r w:rsidR="004334FD">
        <w:rPr>
          <w:rFonts w:ascii="Arial" w:hAnsi="Arial" w:cs="Arial"/>
        </w:rPr>
        <w:t>Y</w:t>
      </w:r>
      <w:r w:rsidR="002E067B">
        <w:rPr>
          <w:rFonts w:ascii="Arial" w:hAnsi="Arial" w:cs="Arial"/>
        </w:rPr>
        <w:t xml:space="preserve">ear 6 into </w:t>
      </w:r>
      <w:r w:rsidR="004334FD">
        <w:rPr>
          <w:rFonts w:ascii="Arial" w:hAnsi="Arial" w:cs="Arial"/>
        </w:rPr>
        <w:t>Y</w:t>
      </w:r>
      <w:r w:rsidR="002E067B">
        <w:rPr>
          <w:rFonts w:ascii="Arial" w:hAnsi="Arial" w:cs="Arial"/>
        </w:rPr>
        <w:t xml:space="preserve">ear 7, and </w:t>
      </w:r>
      <w:r w:rsidR="004334FD">
        <w:rPr>
          <w:rFonts w:ascii="Arial" w:hAnsi="Arial" w:cs="Arial"/>
        </w:rPr>
        <w:t>Y</w:t>
      </w:r>
      <w:r w:rsidR="002E067B">
        <w:rPr>
          <w:rFonts w:ascii="Arial" w:hAnsi="Arial" w:cs="Arial"/>
        </w:rPr>
        <w:t>ear</w:t>
      </w:r>
      <w:r w:rsidRPr="008433CA">
        <w:rPr>
          <w:rFonts w:ascii="Arial" w:hAnsi="Arial" w:cs="Arial"/>
        </w:rPr>
        <w:t xml:space="preserve"> 8 to </w:t>
      </w:r>
      <w:r w:rsidR="004334FD">
        <w:rPr>
          <w:rFonts w:ascii="Arial" w:hAnsi="Arial" w:cs="Arial"/>
        </w:rPr>
        <w:t>Y</w:t>
      </w:r>
      <w:r w:rsidRPr="008433CA">
        <w:rPr>
          <w:rFonts w:ascii="Arial" w:hAnsi="Arial" w:cs="Arial"/>
        </w:rPr>
        <w:t xml:space="preserve">ear 9, impact on </w:t>
      </w:r>
      <w:r w:rsidR="00691082" w:rsidRPr="00691082">
        <w:rPr>
          <w:rFonts w:ascii="Arial" w:hAnsi="Arial" w:cs="Arial"/>
        </w:rPr>
        <w:t>children and young people</w:t>
      </w:r>
      <w:r w:rsidR="00691082">
        <w:rPr>
          <w:rFonts w:ascii="Arial" w:hAnsi="Arial" w:cs="Arial"/>
        </w:rPr>
        <w:t>’s</w:t>
      </w:r>
      <w:r w:rsidR="00691082" w:rsidRPr="00BF7D8F">
        <w:rPr>
          <w:rFonts w:cs="Arial"/>
        </w:rPr>
        <w:t xml:space="preserve"> </w:t>
      </w:r>
      <w:r w:rsidRPr="008433CA">
        <w:rPr>
          <w:rFonts w:ascii="Arial" w:hAnsi="Arial" w:cs="Arial"/>
        </w:rPr>
        <w:t xml:space="preserve">progress and outcomes.  </w:t>
      </w:r>
    </w:p>
    <w:p w:rsidR="00DE6194" w:rsidRPr="008433CA" w:rsidRDefault="00DE6194" w:rsidP="004334FD">
      <w:pPr>
        <w:pStyle w:val="ListParagraph"/>
        <w:spacing w:line="276" w:lineRule="auto"/>
        <w:contextualSpacing/>
        <w:jc w:val="both"/>
        <w:rPr>
          <w:rFonts w:ascii="Arial" w:hAnsi="Arial" w:cs="Arial"/>
        </w:rPr>
      </w:pPr>
    </w:p>
    <w:p w:rsidR="009D7B00" w:rsidRDefault="009D7B00" w:rsidP="007A7B02">
      <w:pPr>
        <w:pStyle w:val="ListParagraph"/>
        <w:numPr>
          <w:ilvl w:val="0"/>
          <w:numId w:val="3"/>
        </w:numPr>
        <w:ind w:left="568" w:hanging="284"/>
        <w:jc w:val="both"/>
        <w:rPr>
          <w:rFonts w:ascii="Arial" w:hAnsi="Arial" w:cs="Arial"/>
        </w:rPr>
      </w:pPr>
      <w:r w:rsidRPr="008433CA">
        <w:rPr>
          <w:rFonts w:ascii="Arial" w:hAnsi="Arial" w:cs="Arial"/>
        </w:rPr>
        <w:t>An increasingly diverse student population</w:t>
      </w:r>
      <w:r w:rsidR="00A42349">
        <w:rPr>
          <w:rFonts w:ascii="Arial" w:hAnsi="Arial" w:cs="Arial"/>
        </w:rPr>
        <w:t xml:space="preserve"> and advancing technologies add</w:t>
      </w:r>
      <w:r w:rsidRPr="008433CA">
        <w:rPr>
          <w:rFonts w:ascii="Arial" w:hAnsi="Arial" w:cs="Arial"/>
        </w:rPr>
        <w:t xml:space="preserve"> complexity to teaching and learning at all levels of the curricul</w:t>
      </w:r>
      <w:r w:rsidR="005322DB">
        <w:rPr>
          <w:rFonts w:ascii="Arial" w:hAnsi="Arial" w:cs="Arial"/>
        </w:rPr>
        <w:t>a</w:t>
      </w:r>
      <w:r w:rsidRPr="008433CA">
        <w:rPr>
          <w:rFonts w:ascii="Arial" w:hAnsi="Arial" w:cs="Arial"/>
        </w:rPr>
        <w:t xml:space="preserve">.  </w:t>
      </w:r>
    </w:p>
    <w:p w:rsidR="007A7B02" w:rsidRPr="007A7B02" w:rsidRDefault="007A7B02" w:rsidP="007A7B02">
      <w:pPr>
        <w:pStyle w:val="ListParagraph"/>
        <w:rPr>
          <w:rFonts w:ascii="Arial" w:hAnsi="Arial" w:cs="Arial"/>
        </w:rPr>
      </w:pPr>
    </w:p>
    <w:p w:rsidR="007A7B02" w:rsidRDefault="007A7B02" w:rsidP="007A7B02">
      <w:pPr>
        <w:contextualSpacing/>
        <w:jc w:val="both"/>
        <w:rPr>
          <w:rFonts w:ascii="Arial" w:hAnsi="Arial" w:cs="Arial"/>
          <w:sz w:val="22"/>
          <w:szCs w:val="22"/>
        </w:rPr>
      </w:pPr>
      <w:r>
        <w:rPr>
          <w:rFonts w:ascii="Arial" w:hAnsi="Arial" w:cs="Arial"/>
          <w:sz w:val="22"/>
          <w:szCs w:val="22"/>
        </w:rPr>
        <w:t>Therefore a</w:t>
      </w:r>
      <w:r w:rsidRPr="00BF7D8F">
        <w:rPr>
          <w:rFonts w:ascii="Arial" w:hAnsi="Arial" w:cs="Arial"/>
          <w:sz w:val="22"/>
          <w:szCs w:val="22"/>
        </w:rPr>
        <w:t>s a starting point</w:t>
      </w:r>
      <w:r>
        <w:rPr>
          <w:rFonts w:ascii="Arial" w:hAnsi="Arial" w:cs="Arial"/>
          <w:sz w:val="22"/>
          <w:szCs w:val="22"/>
        </w:rPr>
        <w:t>,</w:t>
      </w:r>
      <w:r w:rsidRPr="00BF7D8F">
        <w:rPr>
          <w:rFonts w:ascii="Arial" w:hAnsi="Arial" w:cs="Arial"/>
          <w:sz w:val="22"/>
          <w:szCs w:val="22"/>
        </w:rPr>
        <w:t xml:space="preserve"> </w:t>
      </w:r>
      <w:r>
        <w:rPr>
          <w:rFonts w:ascii="Arial" w:hAnsi="Arial" w:cs="Arial"/>
          <w:sz w:val="22"/>
          <w:szCs w:val="22"/>
        </w:rPr>
        <w:t xml:space="preserve">a </w:t>
      </w:r>
      <w:r w:rsidR="005322DB">
        <w:rPr>
          <w:rFonts w:ascii="Arial" w:hAnsi="Arial" w:cs="Arial"/>
          <w:sz w:val="22"/>
          <w:szCs w:val="22"/>
        </w:rPr>
        <w:t>curricula</w:t>
      </w:r>
      <w:r w:rsidRPr="00BF7D8F">
        <w:rPr>
          <w:rFonts w:ascii="Arial" w:hAnsi="Arial" w:cs="Arial"/>
          <w:sz w:val="22"/>
          <w:szCs w:val="22"/>
        </w:rPr>
        <w:t xml:space="preserve"> focus suggests</w:t>
      </w:r>
      <w:r>
        <w:rPr>
          <w:rFonts w:ascii="Arial" w:hAnsi="Arial" w:cs="Arial"/>
          <w:sz w:val="22"/>
          <w:szCs w:val="22"/>
        </w:rPr>
        <w:t xml:space="preserve"> </w:t>
      </w:r>
      <w:r w:rsidRPr="008433CA">
        <w:rPr>
          <w:rFonts w:ascii="Arial" w:hAnsi="Arial" w:cs="Arial"/>
          <w:sz w:val="22"/>
          <w:szCs w:val="22"/>
        </w:rPr>
        <w:t xml:space="preserve">a relatively even funding requirement in terms of the teaching and learning challenge at each stage of </w:t>
      </w:r>
      <w:r>
        <w:rPr>
          <w:rFonts w:ascii="Arial" w:hAnsi="Arial" w:cs="Arial"/>
          <w:sz w:val="22"/>
          <w:szCs w:val="22"/>
        </w:rPr>
        <w:t xml:space="preserve">a student’s journey through schooling, increasing in secondary schooling in order to </w:t>
      </w:r>
      <w:r w:rsidRPr="008433CA">
        <w:rPr>
          <w:rFonts w:ascii="Arial" w:hAnsi="Arial" w:cs="Arial"/>
          <w:sz w:val="22"/>
          <w:szCs w:val="22"/>
        </w:rPr>
        <w:t>provide diverse learning options</w:t>
      </w:r>
      <w:r>
        <w:rPr>
          <w:rFonts w:ascii="Arial" w:hAnsi="Arial" w:cs="Arial"/>
          <w:sz w:val="22"/>
          <w:szCs w:val="22"/>
        </w:rPr>
        <w:t>.</w:t>
      </w:r>
    </w:p>
    <w:p w:rsidR="007A7B02" w:rsidRDefault="007A7B02" w:rsidP="00DE6194">
      <w:pPr>
        <w:pStyle w:val="MoEHeading3"/>
        <w:spacing w:before="0" w:after="0" w:line="240" w:lineRule="auto"/>
        <w:jc w:val="both"/>
        <w:rPr>
          <w:rFonts w:cs="Arial"/>
          <w:i/>
          <w:color w:val="0070C0"/>
          <w:sz w:val="22"/>
          <w:szCs w:val="22"/>
        </w:rPr>
      </w:pPr>
    </w:p>
    <w:p w:rsidR="009D7B00" w:rsidRPr="0098440C" w:rsidRDefault="009D7B00" w:rsidP="00DE6194">
      <w:pPr>
        <w:pStyle w:val="MoEHeading3"/>
        <w:spacing w:before="0" w:after="0" w:line="240" w:lineRule="auto"/>
        <w:jc w:val="both"/>
        <w:rPr>
          <w:rFonts w:cs="Arial"/>
          <w:i/>
          <w:color w:val="0070C0"/>
          <w:sz w:val="22"/>
          <w:szCs w:val="22"/>
        </w:rPr>
      </w:pPr>
      <w:r w:rsidRPr="0098440C">
        <w:rPr>
          <w:rFonts w:cs="Arial"/>
          <w:i/>
          <w:color w:val="0070C0"/>
          <w:sz w:val="22"/>
          <w:szCs w:val="22"/>
        </w:rPr>
        <w:t xml:space="preserve">Education research </w:t>
      </w:r>
    </w:p>
    <w:p w:rsidR="00DE6194" w:rsidRPr="00DE6194" w:rsidRDefault="00DE6194" w:rsidP="00DE6194">
      <w:pPr>
        <w:pStyle w:val="MoEBodyText"/>
        <w:spacing w:after="0"/>
      </w:pPr>
    </w:p>
    <w:p w:rsidR="009D7B00" w:rsidRDefault="009D7B00" w:rsidP="00DE6194">
      <w:pPr>
        <w:pStyle w:val="MoEBodyText"/>
        <w:spacing w:after="0" w:line="240" w:lineRule="auto"/>
        <w:jc w:val="both"/>
        <w:rPr>
          <w:rFonts w:cs="Arial"/>
          <w:sz w:val="22"/>
          <w:szCs w:val="22"/>
        </w:rPr>
      </w:pPr>
      <w:r w:rsidRPr="00BF7D8F">
        <w:rPr>
          <w:rFonts w:cs="Arial"/>
          <w:sz w:val="22"/>
          <w:szCs w:val="22"/>
        </w:rPr>
        <w:t xml:space="preserve">In terms of education research, we have </w:t>
      </w:r>
      <w:r w:rsidR="001C7B5D">
        <w:rPr>
          <w:rFonts w:cs="Arial"/>
          <w:sz w:val="22"/>
          <w:szCs w:val="22"/>
        </w:rPr>
        <w:t>limited</w:t>
      </w:r>
      <w:r w:rsidRPr="00BF7D8F">
        <w:rPr>
          <w:rFonts w:cs="Arial"/>
          <w:sz w:val="22"/>
          <w:szCs w:val="22"/>
        </w:rPr>
        <w:t xml:space="preserve"> evidence to guide decision</w:t>
      </w:r>
      <w:r w:rsidR="002E067B">
        <w:rPr>
          <w:rFonts w:cs="Arial"/>
          <w:sz w:val="22"/>
          <w:szCs w:val="22"/>
        </w:rPr>
        <w:t>-</w:t>
      </w:r>
      <w:r w:rsidRPr="00BF7D8F">
        <w:rPr>
          <w:rFonts w:cs="Arial"/>
          <w:sz w:val="22"/>
          <w:szCs w:val="22"/>
        </w:rPr>
        <w:t xml:space="preserve">making about the level of </w:t>
      </w:r>
      <w:r w:rsidR="00A42349">
        <w:rPr>
          <w:rFonts w:cs="Arial"/>
          <w:sz w:val="22"/>
          <w:szCs w:val="22"/>
        </w:rPr>
        <w:t xml:space="preserve">the </w:t>
      </w:r>
      <w:r w:rsidRPr="00BF7D8F">
        <w:rPr>
          <w:rFonts w:cs="Arial"/>
          <w:sz w:val="22"/>
          <w:szCs w:val="22"/>
        </w:rPr>
        <w:t>per-</w:t>
      </w:r>
      <w:r w:rsidR="004334FD">
        <w:rPr>
          <w:rFonts w:cs="Arial"/>
          <w:sz w:val="22"/>
          <w:szCs w:val="22"/>
        </w:rPr>
        <w:t>student</w:t>
      </w:r>
      <w:r w:rsidRPr="00BF7D8F">
        <w:rPr>
          <w:rFonts w:cs="Arial"/>
          <w:sz w:val="22"/>
          <w:szCs w:val="22"/>
        </w:rPr>
        <w:t xml:space="preserve"> funding amount. The strongest evidence relates to the early years of primary schooling. It suggests a case for comparatively higher expenditure in the early years of primary schooling compared to later stages of schooling. For example, evidence from Project STAR in Tennessee found that sustained exposure of students to smaller class sizes over Kindergarten to Year 3 (our equivalent of Years 1 to 4) led to improved levels of achievement.</w:t>
      </w:r>
      <w:r w:rsidRPr="00BF7D8F">
        <w:rPr>
          <w:rStyle w:val="FootnoteReference"/>
          <w:rFonts w:cs="Arial"/>
          <w:sz w:val="22"/>
          <w:szCs w:val="22"/>
        </w:rPr>
        <w:t xml:space="preserve"> </w:t>
      </w:r>
      <w:r w:rsidRPr="00BF7D8F">
        <w:rPr>
          <w:rStyle w:val="FootnoteReference"/>
          <w:rFonts w:cs="Arial"/>
          <w:sz w:val="22"/>
          <w:szCs w:val="22"/>
        </w:rPr>
        <w:footnoteReference w:id="6"/>
      </w:r>
    </w:p>
    <w:p w:rsidR="00DE6194" w:rsidRPr="00BF7D8F" w:rsidRDefault="00DE6194" w:rsidP="00DE6194">
      <w:pPr>
        <w:pStyle w:val="MoEBodyText"/>
        <w:spacing w:after="0" w:line="240" w:lineRule="auto"/>
        <w:jc w:val="both"/>
        <w:rPr>
          <w:rFonts w:cs="Arial"/>
          <w:sz w:val="22"/>
          <w:szCs w:val="22"/>
          <w:vertAlign w:val="superscript"/>
        </w:rPr>
      </w:pPr>
    </w:p>
    <w:p w:rsidR="009D7B00" w:rsidRPr="0098440C" w:rsidRDefault="009D7B00" w:rsidP="00DE6194">
      <w:pPr>
        <w:pStyle w:val="MoEHeading3"/>
        <w:spacing w:before="0" w:after="0" w:line="240" w:lineRule="auto"/>
        <w:jc w:val="both"/>
        <w:rPr>
          <w:rFonts w:cs="Arial"/>
          <w:i/>
          <w:color w:val="0070C0"/>
          <w:sz w:val="22"/>
          <w:szCs w:val="22"/>
        </w:rPr>
      </w:pPr>
      <w:r w:rsidRPr="0098440C">
        <w:rPr>
          <w:rFonts w:cs="Arial"/>
          <w:i/>
          <w:color w:val="0070C0"/>
          <w:sz w:val="22"/>
          <w:szCs w:val="22"/>
        </w:rPr>
        <w:t>Other factors</w:t>
      </w:r>
    </w:p>
    <w:p w:rsidR="00DE6194" w:rsidRPr="00DE6194" w:rsidRDefault="00DE6194" w:rsidP="00DE6194">
      <w:pPr>
        <w:pStyle w:val="MoEBodyText"/>
        <w:spacing w:after="0"/>
      </w:pPr>
    </w:p>
    <w:p w:rsidR="009D7B00" w:rsidRDefault="009D7B00" w:rsidP="00DE6194">
      <w:pPr>
        <w:pStyle w:val="MoEBodyText"/>
        <w:spacing w:after="0" w:line="240" w:lineRule="auto"/>
        <w:jc w:val="both"/>
        <w:rPr>
          <w:rFonts w:cs="Arial"/>
          <w:sz w:val="22"/>
          <w:szCs w:val="22"/>
        </w:rPr>
      </w:pPr>
      <w:r w:rsidRPr="00BF7D8F">
        <w:rPr>
          <w:rFonts w:cs="Arial"/>
          <w:sz w:val="22"/>
          <w:szCs w:val="22"/>
        </w:rPr>
        <w:t xml:space="preserve">Another issue </w:t>
      </w:r>
      <w:r>
        <w:rPr>
          <w:rFonts w:cs="Arial"/>
          <w:sz w:val="22"/>
          <w:szCs w:val="22"/>
        </w:rPr>
        <w:t xml:space="preserve">for consideration </w:t>
      </w:r>
      <w:r w:rsidRPr="00BF7D8F">
        <w:rPr>
          <w:rFonts w:cs="Arial"/>
          <w:sz w:val="22"/>
          <w:szCs w:val="22"/>
        </w:rPr>
        <w:t>is how non-teacher costs change over the schooling journey. Issues include the dif</w:t>
      </w:r>
      <w:r>
        <w:rPr>
          <w:rFonts w:cs="Arial"/>
          <w:sz w:val="22"/>
          <w:szCs w:val="22"/>
        </w:rPr>
        <w:t>f</w:t>
      </w:r>
      <w:r w:rsidRPr="00BF7D8F">
        <w:rPr>
          <w:rFonts w:cs="Arial"/>
          <w:sz w:val="22"/>
          <w:szCs w:val="22"/>
        </w:rPr>
        <w:t>er</w:t>
      </w:r>
      <w:r w:rsidR="004334FD">
        <w:rPr>
          <w:rFonts w:cs="Arial"/>
          <w:sz w:val="22"/>
          <w:szCs w:val="22"/>
        </w:rPr>
        <w:t>ing</w:t>
      </w:r>
      <w:r w:rsidRPr="00BF7D8F">
        <w:rPr>
          <w:rFonts w:cs="Arial"/>
          <w:sz w:val="22"/>
          <w:szCs w:val="22"/>
        </w:rPr>
        <w:t xml:space="preserve"> costs of learning experiences that enable children to gain the knowledge</w:t>
      </w:r>
      <w:r w:rsidR="007A7B02">
        <w:rPr>
          <w:rFonts w:cs="Arial"/>
          <w:sz w:val="22"/>
          <w:szCs w:val="22"/>
        </w:rPr>
        <w:t>,</w:t>
      </w:r>
      <w:r w:rsidRPr="00BF7D8F">
        <w:rPr>
          <w:rFonts w:cs="Arial"/>
          <w:sz w:val="22"/>
          <w:szCs w:val="22"/>
        </w:rPr>
        <w:t xml:space="preserve"> skills and competencies expected across the curriculum at different levels.  In some areas of the curriculum</w:t>
      </w:r>
      <w:r w:rsidR="007A7B02">
        <w:rPr>
          <w:rFonts w:cs="Arial"/>
          <w:sz w:val="22"/>
          <w:szCs w:val="22"/>
        </w:rPr>
        <w:t>,</w:t>
      </w:r>
      <w:r w:rsidRPr="00BF7D8F">
        <w:rPr>
          <w:rFonts w:cs="Arial"/>
          <w:sz w:val="22"/>
          <w:szCs w:val="22"/>
        </w:rPr>
        <w:t xml:space="preserve"> more expensive materials and equipment are required at advanced levels of instruction.</w:t>
      </w:r>
    </w:p>
    <w:p w:rsidR="004334FD" w:rsidRPr="00BF7D8F" w:rsidRDefault="004334FD" w:rsidP="00DE6194">
      <w:pPr>
        <w:pStyle w:val="MoEBodyText"/>
        <w:spacing w:after="0" w:line="240" w:lineRule="auto"/>
        <w:jc w:val="both"/>
        <w:rPr>
          <w:rFonts w:cs="Arial"/>
          <w:sz w:val="22"/>
          <w:szCs w:val="22"/>
        </w:rPr>
      </w:pPr>
    </w:p>
    <w:p w:rsidR="009D7B00" w:rsidRDefault="009D7B00" w:rsidP="00DE6194">
      <w:pPr>
        <w:pStyle w:val="MoEBodyText"/>
        <w:spacing w:after="0" w:line="240" w:lineRule="auto"/>
        <w:jc w:val="both"/>
        <w:rPr>
          <w:rFonts w:cs="Arial"/>
          <w:sz w:val="22"/>
          <w:szCs w:val="22"/>
        </w:rPr>
      </w:pPr>
      <w:r w:rsidRPr="00BF7D8F">
        <w:rPr>
          <w:sz w:val="22"/>
          <w:szCs w:val="22"/>
        </w:rPr>
        <w:t xml:space="preserve">Costs at each stage of schooling are also affected by agreed conditions of employment, which differ across primary and secondary levels. A particular difference relates to curriculum release or non-contact time for teachers. The Secondary Teachers’ Collective Agreement also commits to </w:t>
      </w:r>
      <w:r w:rsidRPr="00BF7D8F">
        <w:rPr>
          <w:rFonts w:cs="Arial"/>
          <w:sz w:val="22"/>
          <w:szCs w:val="22"/>
        </w:rPr>
        <w:t>reasonably endeavour to ensure that every teacher who takes more than one class does not have an average class size exceeding 26 students</w:t>
      </w:r>
      <w:r w:rsidR="007A7B02">
        <w:rPr>
          <w:rFonts w:cs="Arial"/>
          <w:sz w:val="22"/>
          <w:szCs w:val="22"/>
        </w:rPr>
        <w:t xml:space="preserve">. </w:t>
      </w:r>
    </w:p>
    <w:p w:rsidR="0000267B" w:rsidRDefault="0000267B" w:rsidP="00DE6194">
      <w:pPr>
        <w:pStyle w:val="MoEBodyText"/>
        <w:spacing w:after="0" w:line="240" w:lineRule="auto"/>
        <w:jc w:val="both"/>
        <w:rPr>
          <w:rFonts w:cs="Arial"/>
          <w:sz w:val="22"/>
          <w:szCs w:val="22"/>
        </w:rPr>
      </w:pPr>
    </w:p>
    <w:p w:rsidR="0000267B" w:rsidRDefault="0000267B" w:rsidP="0000267B">
      <w:pPr>
        <w:pStyle w:val="MoEBodyText"/>
        <w:spacing w:after="0" w:line="240" w:lineRule="auto"/>
        <w:jc w:val="both"/>
        <w:rPr>
          <w:rFonts w:cs="Arial"/>
          <w:sz w:val="22"/>
          <w:szCs w:val="22"/>
        </w:rPr>
      </w:pPr>
      <w:r>
        <w:rPr>
          <w:rFonts w:cs="Arial"/>
          <w:sz w:val="22"/>
          <w:szCs w:val="22"/>
        </w:rPr>
        <w:t>In considering how the per-</w:t>
      </w:r>
      <w:r w:rsidR="00266885">
        <w:rPr>
          <w:rFonts w:cs="Arial"/>
          <w:sz w:val="22"/>
          <w:szCs w:val="22"/>
        </w:rPr>
        <w:t xml:space="preserve">child </w:t>
      </w:r>
      <w:r>
        <w:rPr>
          <w:rFonts w:cs="Arial"/>
          <w:sz w:val="22"/>
          <w:szCs w:val="22"/>
        </w:rPr>
        <w:t>funding amount might change across the schooling journey, a further issue is the balance between the merits of a finely calibrated funding system and providing reasonable certainty for schools to plan and to be efficient. Significant differences in funding across year levels can increase funding uncertainty for individual schools.</w:t>
      </w:r>
    </w:p>
    <w:p w:rsidR="0000267B" w:rsidRDefault="0000267B" w:rsidP="00DE6194">
      <w:pPr>
        <w:pStyle w:val="MoEBodyText"/>
        <w:spacing w:after="0" w:line="240" w:lineRule="auto"/>
        <w:jc w:val="both"/>
        <w:rPr>
          <w:rFonts w:cs="Arial"/>
          <w:sz w:val="22"/>
          <w:szCs w:val="22"/>
        </w:rPr>
      </w:pPr>
    </w:p>
    <w:p w:rsidR="009D7B00" w:rsidRPr="0098440C" w:rsidRDefault="009D7B00" w:rsidP="00DE6194">
      <w:pPr>
        <w:pStyle w:val="MoEHeading3"/>
        <w:spacing w:before="0" w:after="0" w:line="240" w:lineRule="auto"/>
        <w:jc w:val="both"/>
        <w:rPr>
          <w:rFonts w:cs="Arial"/>
          <w:i/>
          <w:color w:val="0070C0"/>
          <w:sz w:val="22"/>
          <w:szCs w:val="22"/>
        </w:rPr>
      </w:pPr>
      <w:r w:rsidRPr="0098440C">
        <w:rPr>
          <w:rFonts w:cs="Arial"/>
          <w:i/>
          <w:color w:val="0070C0"/>
          <w:sz w:val="22"/>
          <w:szCs w:val="22"/>
        </w:rPr>
        <w:t xml:space="preserve">Children </w:t>
      </w:r>
      <w:r w:rsidR="004572AF" w:rsidRPr="004572AF">
        <w:rPr>
          <w:rFonts w:cs="Arial"/>
          <w:i/>
          <w:color w:val="0070C0"/>
          <w:sz w:val="22"/>
          <w:szCs w:val="22"/>
        </w:rPr>
        <w:t>and young people</w:t>
      </w:r>
      <w:r w:rsidR="00837278" w:rsidRPr="00BF7D8F">
        <w:rPr>
          <w:rFonts w:cs="Arial"/>
          <w:sz w:val="22"/>
          <w:szCs w:val="22"/>
        </w:rPr>
        <w:t xml:space="preserve"> </w:t>
      </w:r>
      <w:r w:rsidRPr="0098440C">
        <w:rPr>
          <w:rFonts w:cs="Arial"/>
          <w:i/>
          <w:color w:val="0070C0"/>
          <w:sz w:val="22"/>
          <w:szCs w:val="22"/>
        </w:rPr>
        <w:t>learning in</w:t>
      </w:r>
      <w:r w:rsidR="00A42349">
        <w:rPr>
          <w:rFonts w:cs="Arial"/>
          <w:i/>
          <w:color w:val="0070C0"/>
          <w:sz w:val="22"/>
          <w:szCs w:val="22"/>
        </w:rPr>
        <w:t>,</w:t>
      </w:r>
      <w:r w:rsidRPr="0098440C">
        <w:rPr>
          <w:rFonts w:cs="Arial"/>
          <w:i/>
          <w:color w:val="0070C0"/>
          <w:sz w:val="22"/>
          <w:szCs w:val="22"/>
        </w:rPr>
        <w:t xml:space="preserve"> and through</w:t>
      </w:r>
      <w:r w:rsidR="00A42349">
        <w:rPr>
          <w:rFonts w:cs="Arial"/>
          <w:i/>
          <w:color w:val="0070C0"/>
          <w:sz w:val="22"/>
          <w:szCs w:val="22"/>
        </w:rPr>
        <w:t>,</w:t>
      </w:r>
      <w:r w:rsidRPr="0098440C">
        <w:rPr>
          <w:rFonts w:cs="Arial"/>
          <w:i/>
          <w:color w:val="0070C0"/>
          <w:sz w:val="22"/>
          <w:szCs w:val="22"/>
        </w:rPr>
        <w:t xml:space="preserve"> </w:t>
      </w:r>
      <w:proofErr w:type="gramStart"/>
      <w:r w:rsidRPr="0098440C">
        <w:rPr>
          <w:rFonts w:cs="Arial"/>
          <w:i/>
          <w:color w:val="0070C0"/>
          <w:sz w:val="22"/>
          <w:szCs w:val="22"/>
        </w:rPr>
        <w:t>te</w:t>
      </w:r>
      <w:proofErr w:type="gramEnd"/>
      <w:r w:rsidRPr="0098440C">
        <w:rPr>
          <w:rFonts w:cs="Arial"/>
          <w:i/>
          <w:color w:val="0070C0"/>
          <w:sz w:val="22"/>
          <w:szCs w:val="22"/>
        </w:rPr>
        <w:t xml:space="preserve"> reo Māori </w:t>
      </w:r>
    </w:p>
    <w:p w:rsidR="00DE6194" w:rsidRPr="00DE6194" w:rsidRDefault="00DE6194" w:rsidP="00DE6194">
      <w:pPr>
        <w:pStyle w:val="MoEBodyText"/>
        <w:spacing w:after="0"/>
      </w:pPr>
    </w:p>
    <w:p w:rsidR="009D7B00" w:rsidRDefault="008D4580" w:rsidP="00DE6194">
      <w:pPr>
        <w:pStyle w:val="MoEBodyText"/>
        <w:spacing w:after="0" w:line="240" w:lineRule="auto"/>
        <w:jc w:val="both"/>
        <w:rPr>
          <w:rFonts w:cs="Arial"/>
          <w:sz w:val="22"/>
          <w:szCs w:val="22"/>
        </w:rPr>
      </w:pPr>
      <w:r>
        <w:rPr>
          <w:rFonts w:cs="Arial"/>
          <w:sz w:val="22"/>
          <w:szCs w:val="22"/>
        </w:rPr>
        <w:t>With regards</w:t>
      </w:r>
      <w:r w:rsidR="009D7B00" w:rsidRPr="00BF7D8F">
        <w:rPr>
          <w:rFonts w:cs="Arial"/>
          <w:sz w:val="22"/>
          <w:szCs w:val="22"/>
        </w:rPr>
        <w:t xml:space="preserve"> to </w:t>
      </w:r>
      <w:r w:rsidR="00266885">
        <w:rPr>
          <w:rFonts w:cs="Arial"/>
          <w:sz w:val="22"/>
          <w:szCs w:val="22"/>
        </w:rPr>
        <w:t>children and young people</w:t>
      </w:r>
      <w:r w:rsidR="00266885" w:rsidRPr="00BF7D8F">
        <w:rPr>
          <w:rFonts w:cs="Arial"/>
          <w:sz w:val="22"/>
          <w:szCs w:val="22"/>
        </w:rPr>
        <w:t xml:space="preserve"> </w:t>
      </w:r>
      <w:r w:rsidR="00837278">
        <w:rPr>
          <w:rFonts w:cs="Arial"/>
          <w:sz w:val="22"/>
          <w:szCs w:val="22"/>
        </w:rPr>
        <w:t>learning</w:t>
      </w:r>
      <w:r w:rsidR="00837278" w:rsidRPr="00BF7D8F">
        <w:rPr>
          <w:rFonts w:cs="Arial"/>
          <w:sz w:val="22"/>
          <w:szCs w:val="22"/>
        </w:rPr>
        <w:t xml:space="preserve"> </w:t>
      </w:r>
      <w:r w:rsidR="009D7B00" w:rsidRPr="00BF7D8F">
        <w:rPr>
          <w:rFonts w:cs="Arial"/>
          <w:sz w:val="22"/>
          <w:szCs w:val="22"/>
        </w:rPr>
        <w:t xml:space="preserve">in and through </w:t>
      </w:r>
      <w:proofErr w:type="gramStart"/>
      <w:r w:rsidR="009D7B00" w:rsidRPr="00BF7D8F">
        <w:rPr>
          <w:rFonts w:cs="Arial"/>
          <w:sz w:val="22"/>
          <w:szCs w:val="22"/>
        </w:rPr>
        <w:t>te</w:t>
      </w:r>
      <w:proofErr w:type="gramEnd"/>
      <w:r w:rsidR="009D7B00" w:rsidRPr="00BF7D8F">
        <w:rPr>
          <w:rFonts w:cs="Arial"/>
          <w:sz w:val="22"/>
          <w:szCs w:val="22"/>
        </w:rPr>
        <w:t xml:space="preserve"> reo Māori, the teaching and learning challenge generally involves supporting </w:t>
      </w:r>
      <w:r w:rsidR="00266885">
        <w:rPr>
          <w:rFonts w:cs="Arial"/>
          <w:sz w:val="22"/>
          <w:szCs w:val="22"/>
        </w:rPr>
        <w:t>children and young people</w:t>
      </w:r>
      <w:r w:rsidR="00266885" w:rsidRPr="00BF7D8F">
        <w:rPr>
          <w:rFonts w:cs="Arial"/>
          <w:sz w:val="22"/>
          <w:szCs w:val="22"/>
        </w:rPr>
        <w:t xml:space="preserve"> </w:t>
      </w:r>
      <w:r w:rsidR="009D7B00" w:rsidRPr="00BF7D8F">
        <w:rPr>
          <w:rFonts w:cs="Arial"/>
          <w:sz w:val="22"/>
          <w:szCs w:val="22"/>
        </w:rPr>
        <w:t>to achieve language proficiency</w:t>
      </w:r>
      <w:r>
        <w:rPr>
          <w:rFonts w:cs="Arial"/>
          <w:sz w:val="22"/>
          <w:szCs w:val="22"/>
        </w:rPr>
        <w:t>,</w:t>
      </w:r>
      <w:r w:rsidR="009D7B00" w:rsidRPr="00BF7D8F">
        <w:rPr>
          <w:rFonts w:cs="Arial"/>
          <w:sz w:val="22"/>
          <w:szCs w:val="22"/>
        </w:rPr>
        <w:t xml:space="preserve"> as well as to make expected progress against Te Marautanga o Aotearoa. </w:t>
      </w:r>
    </w:p>
    <w:p w:rsidR="007A7B02" w:rsidRPr="00BF7D8F" w:rsidRDefault="007A7B02" w:rsidP="00DE6194">
      <w:pPr>
        <w:pStyle w:val="MoEBodyText"/>
        <w:spacing w:after="0" w:line="240" w:lineRule="auto"/>
        <w:jc w:val="both"/>
        <w:rPr>
          <w:rFonts w:cs="Arial"/>
          <w:sz w:val="22"/>
          <w:szCs w:val="22"/>
        </w:rPr>
      </w:pPr>
    </w:p>
    <w:p w:rsidR="009D7B00" w:rsidRDefault="009D7B00" w:rsidP="00DE6194">
      <w:pPr>
        <w:pStyle w:val="MoEBodyText"/>
        <w:spacing w:after="0" w:line="240" w:lineRule="auto"/>
        <w:jc w:val="both"/>
        <w:rPr>
          <w:rFonts w:cs="Arial"/>
          <w:sz w:val="22"/>
          <w:szCs w:val="22"/>
        </w:rPr>
      </w:pPr>
      <w:r w:rsidRPr="00BF7D8F">
        <w:rPr>
          <w:rFonts w:cs="Arial"/>
          <w:sz w:val="22"/>
          <w:szCs w:val="22"/>
        </w:rPr>
        <w:t xml:space="preserve">For many </w:t>
      </w:r>
      <w:r w:rsidR="00266885">
        <w:rPr>
          <w:rFonts w:cs="Arial"/>
          <w:sz w:val="22"/>
          <w:szCs w:val="22"/>
        </w:rPr>
        <w:t>children and young people</w:t>
      </w:r>
      <w:r w:rsidR="00266885" w:rsidRPr="00BF7D8F">
        <w:rPr>
          <w:rFonts w:cs="Arial"/>
          <w:sz w:val="22"/>
          <w:szCs w:val="22"/>
        </w:rPr>
        <w:t xml:space="preserve"> </w:t>
      </w:r>
      <w:r w:rsidRPr="00BF7D8F">
        <w:rPr>
          <w:rFonts w:cs="Arial"/>
          <w:sz w:val="22"/>
          <w:szCs w:val="22"/>
        </w:rPr>
        <w:t xml:space="preserve">learning in this setting, </w:t>
      </w:r>
      <w:proofErr w:type="gramStart"/>
      <w:r w:rsidRPr="00BF7D8F">
        <w:rPr>
          <w:rFonts w:cs="Arial"/>
          <w:sz w:val="22"/>
          <w:szCs w:val="22"/>
        </w:rPr>
        <w:t>te</w:t>
      </w:r>
      <w:proofErr w:type="gramEnd"/>
      <w:r w:rsidRPr="00BF7D8F">
        <w:rPr>
          <w:rFonts w:cs="Arial"/>
          <w:sz w:val="22"/>
          <w:szCs w:val="22"/>
        </w:rPr>
        <w:t xml:space="preserve"> reo Māori is a second language so they must acquire both basic language and academic proficiency. This also tends to occur against a community backdrop where </w:t>
      </w:r>
      <w:proofErr w:type="gramStart"/>
      <w:r w:rsidRPr="00BF7D8F">
        <w:rPr>
          <w:rFonts w:cs="Arial"/>
          <w:sz w:val="22"/>
          <w:szCs w:val="22"/>
        </w:rPr>
        <w:t>te</w:t>
      </w:r>
      <w:proofErr w:type="gramEnd"/>
      <w:r w:rsidRPr="00BF7D8F">
        <w:rPr>
          <w:rFonts w:cs="Arial"/>
          <w:sz w:val="22"/>
          <w:szCs w:val="22"/>
        </w:rPr>
        <w:t xml:space="preserve"> reo Māori is not the main language spoken.  This may require more 1 to 1 support than </w:t>
      </w:r>
      <w:r w:rsidR="007A7B02">
        <w:rPr>
          <w:rFonts w:cs="Arial"/>
          <w:sz w:val="22"/>
          <w:szCs w:val="22"/>
        </w:rPr>
        <w:t>students</w:t>
      </w:r>
      <w:r w:rsidRPr="00BF7D8F">
        <w:rPr>
          <w:rFonts w:cs="Arial"/>
          <w:sz w:val="22"/>
          <w:szCs w:val="22"/>
        </w:rPr>
        <w:t xml:space="preserve"> learning in non-immersion contexts and accessing the New Zealand Curriculum.</w:t>
      </w:r>
      <w:r w:rsidRPr="00BF7D8F">
        <w:rPr>
          <w:rStyle w:val="FootnoteReference"/>
          <w:rFonts w:cs="Arial"/>
          <w:sz w:val="22"/>
          <w:szCs w:val="22"/>
        </w:rPr>
        <w:footnoteReference w:id="7"/>
      </w:r>
      <w:r w:rsidRPr="00BF7D8F">
        <w:rPr>
          <w:rFonts w:cs="Arial"/>
          <w:sz w:val="22"/>
          <w:szCs w:val="22"/>
        </w:rPr>
        <w:t xml:space="preserve"> Further, given the requirement that students in Māori immersion settings are bilingual by the end of schooling, in later years the teaching and learning programme must also support the development of English language proficiency.   </w:t>
      </w:r>
    </w:p>
    <w:p w:rsidR="007A7B02" w:rsidRPr="00BF7D8F" w:rsidRDefault="007A7B02" w:rsidP="00DE6194">
      <w:pPr>
        <w:pStyle w:val="MoEBodyText"/>
        <w:spacing w:after="0" w:line="240" w:lineRule="auto"/>
        <w:jc w:val="both"/>
        <w:rPr>
          <w:rFonts w:cs="Arial"/>
          <w:sz w:val="22"/>
          <w:szCs w:val="22"/>
        </w:rPr>
      </w:pPr>
    </w:p>
    <w:p w:rsidR="00DE6194" w:rsidRDefault="009D7B00" w:rsidP="00DE6194">
      <w:pPr>
        <w:pStyle w:val="MoEBodyText"/>
        <w:spacing w:after="0" w:line="240" w:lineRule="auto"/>
        <w:jc w:val="both"/>
        <w:rPr>
          <w:rFonts w:cs="Arial"/>
          <w:sz w:val="22"/>
          <w:szCs w:val="22"/>
        </w:rPr>
      </w:pPr>
      <w:r w:rsidRPr="00BF7D8F">
        <w:rPr>
          <w:rFonts w:cs="Arial"/>
          <w:sz w:val="22"/>
          <w:szCs w:val="22"/>
        </w:rPr>
        <w:t xml:space="preserve">The delivery of effective teaching and learning programmes can also involve greater investment of time because of the scarcity of available resources in </w:t>
      </w:r>
      <w:proofErr w:type="gramStart"/>
      <w:r w:rsidRPr="00BF7D8F">
        <w:rPr>
          <w:rFonts w:cs="Arial"/>
          <w:sz w:val="22"/>
          <w:szCs w:val="22"/>
        </w:rPr>
        <w:t>te</w:t>
      </w:r>
      <w:proofErr w:type="gramEnd"/>
      <w:r w:rsidRPr="00BF7D8F">
        <w:rPr>
          <w:rFonts w:cs="Arial"/>
          <w:sz w:val="22"/>
          <w:szCs w:val="22"/>
        </w:rPr>
        <w:t xml:space="preserve"> reo Māori. Over time this is being mitigated by technological advancements and the growth of resource banks.</w:t>
      </w:r>
    </w:p>
    <w:p w:rsidR="00951758" w:rsidRDefault="009D7B00" w:rsidP="00DE6194">
      <w:pPr>
        <w:pStyle w:val="MoEBodyText"/>
        <w:spacing w:after="0" w:line="240" w:lineRule="auto"/>
        <w:jc w:val="both"/>
        <w:rPr>
          <w:rFonts w:cs="Arial"/>
          <w:sz w:val="22"/>
          <w:szCs w:val="22"/>
        </w:rPr>
      </w:pPr>
      <w:r w:rsidRPr="00BF7D8F">
        <w:rPr>
          <w:rFonts w:cs="Arial"/>
          <w:sz w:val="22"/>
          <w:szCs w:val="22"/>
        </w:rPr>
        <w:t xml:space="preserve"> </w:t>
      </w:r>
    </w:p>
    <w:p w:rsidR="009D7B00" w:rsidRPr="0098440C" w:rsidRDefault="009D7B00" w:rsidP="00DE6194">
      <w:pPr>
        <w:contextualSpacing/>
        <w:jc w:val="both"/>
        <w:rPr>
          <w:rFonts w:ascii="Arial" w:hAnsi="Arial" w:cs="Arial"/>
          <w:b/>
          <w:color w:val="0070C0"/>
        </w:rPr>
      </w:pPr>
      <w:r w:rsidRPr="0098440C">
        <w:rPr>
          <w:rFonts w:ascii="Arial" w:hAnsi="Arial" w:cs="Arial"/>
          <w:b/>
          <w:color w:val="0070C0"/>
        </w:rPr>
        <w:t>Conclusion</w:t>
      </w:r>
    </w:p>
    <w:p w:rsidR="009D7B00" w:rsidRDefault="009D7B00" w:rsidP="00DE6194">
      <w:pPr>
        <w:contextualSpacing/>
        <w:jc w:val="both"/>
        <w:rPr>
          <w:rFonts w:ascii="Arial" w:hAnsi="Arial" w:cs="Arial"/>
          <w:sz w:val="22"/>
          <w:szCs w:val="22"/>
        </w:rPr>
      </w:pPr>
    </w:p>
    <w:p w:rsidR="009D7B00" w:rsidRDefault="008D40B0" w:rsidP="00DE6194">
      <w:pPr>
        <w:contextualSpacing/>
        <w:jc w:val="both"/>
        <w:rPr>
          <w:rFonts w:ascii="Arial" w:hAnsi="Arial" w:cs="Arial"/>
          <w:sz w:val="22"/>
          <w:szCs w:val="22"/>
        </w:rPr>
      </w:pPr>
      <w:r>
        <w:rPr>
          <w:rFonts w:ascii="Arial" w:hAnsi="Arial" w:cs="Arial"/>
          <w:sz w:val="22"/>
          <w:szCs w:val="22"/>
        </w:rPr>
        <w:t>Considering</w:t>
      </w:r>
      <w:r w:rsidR="009D7B00">
        <w:rPr>
          <w:rFonts w:ascii="Arial" w:hAnsi="Arial" w:cs="Arial"/>
          <w:sz w:val="22"/>
          <w:szCs w:val="22"/>
        </w:rPr>
        <w:t xml:space="preserve"> all these matters an overall ‘u-shaped’ funding curve </w:t>
      </w:r>
      <w:r>
        <w:rPr>
          <w:rFonts w:ascii="Arial" w:hAnsi="Arial" w:cs="Arial"/>
          <w:sz w:val="22"/>
          <w:szCs w:val="22"/>
        </w:rPr>
        <w:t>appears</w:t>
      </w:r>
      <w:r w:rsidR="009D7B00">
        <w:rPr>
          <w:rFonts w:ascii="Arial" w:hAnsi="Arial" w:cs="Arial"/>
          <w:sz w:val="22"/>
          <w:szCs w:val="22"/>
        </w:rPr>
        <w:t xml:space="preserve"> appropriate, with some differentiation between Maori immersion and English medium.  However, the curve would be less steep </w:t>
      </w:r>
      <w:r w:rsidR="008D4580">
        <w:rPr>
          <w:rFonts w:ascii="Arial" w:hAnsi="Arial" w:cs="Arial"/>
          <w:sz w:val="22"/>
          <w:szCs w:val="22"/>
        </w:rPr>
        <w:t>than</w:t>
      </w:r>
      <w:r w:rsidR="009D7B00">
        <w:rPr>
          <w:rFonts w:ascii="Arial" w:hAnsi="Arial" w:cs="Arial"/>
          <w:sz w:val="22"/>
          <w:szCs w:val="22"/>
        </w:rPr>
        <w:t xml:space="preserve"> the current pattern. </w:t>
      </w:r>
    </w:p>
    <w:p w:rsidR="009D7B00" w:rsidRPr="00BF7D8F" w:rsidRDefault="0017593F" w:rsidP="00DE6194">
      <w:pPr>
        <w:pStyle w:val="MoEBodyText"/>
        <w:spacing w:after="0" w:line="240" w:lineRule="auto"/>
        <w:jc w:val="both"/>
        <w:rPr>
          <w:rFonts w:cs="Arial"/>
          <w:sz w:val="22"/>
          <w:szCs w:val="22"/>
        </w:rPr>
      </w:pPr>
      <w:r>
        <w:rPr>
          <w:rFonts w:cs="Arial"/>
          <w:noProof/>
          <w:sz w:val="22"/>
          <w:szCs w:val="22"/>
          <w:lang w:eastAsia="en-NZ"/>
        </w:rPr>
        <w:pict>
          <v:shape id="_x0000_s1027" type="#_x0000_t202" style="position:absolute;left:0;text-align:left;margin-left:-.6pt;margin-top:7.65pt;width:490.95pt;height:189.25pt;z-index:251661312">
            <v:textbox>
              <w:txbxContent>
                <w:p w:rsidR="00691082" w:rsidRDefault="00691082" w:rsidP="009D7B00">
                  <w:pPr>
                    <w:rPr>
                      <w:rFonts w:ascii="Arial" w:hAnsi="Arial" w:cs="Arial"/>
                      <w:i/>
                      <w:sz w:val="22"/>
                      <w:szCs w:val="22"/>
                    </w:rPr>
                  </w:pPr>
                  <w:r>
                    <w:rPr>
                      <w:rFonts w:ascii="Arial" w:hAnsi="Arial" w:cs="Arial"/>
                      <w:i/>
                      <w:sz w:val="22"/>
                      <w:szCs w:val="22"/>
                    </w:rPr>
                    <w:t>Questions for discussion</w:t>
                  </w:r>
                </w:p>
                <w:p w:rsidR="00691082" w:rsidRDefault="00691082" w:rsidP="009D7B00">
                  <w:pPr>
                    <w:rPr>
                      <w:rFonts w:ascii="Arial" w:hAnsi="Arial" w:cs="Arial"/>
                      <w:i/>
                      <w:sz w:val="22"/>
                      <w:szCs w:val="22"/>
                    </w:rPr>
                  </w:pPr>
                </w:p>
                <w:p w:rsidR="00691082" w:rsidRPr="00DE6194" w:rsidRDefault="00691082" w:rsidP="007A7B02">
                  <w:pPr>
                    <w:jc w:val="both"/>
                    <w:rPr>
                      <w:rFonts w:ascii="Arial" w:hAnsi="Arial" w:cs="Arial"/>
                      <w:i/>
                      <w:sz w:val="22"/>
                      <w:szCs w:val="22"/>
                    </w:rPr>
                  </w:pPr>
                  <w:r w:rsidRPr="00DE6194">
                    <w:rPr>
                      <w:rFonts w:ascii="Arial" w:hAnsi="Arial" w:cs="Arial"/>
                      <w:i/>
                      <w:sz w:val="22"/>
                      <w:szCs w:val="22"/>
                    </w:rPr>
                    <w:t>How does the teaching and learning challenge, including the requirements for educational leadership, differ over the schooling journey?</w:t>
                  </w:r>
                </w:p>
                <w:p w:rsidR="00691082" w:rsidRPr="00DE6194" w:rsidRDefault="00691082" w:rsidP="007A7B02">
                  <w:pPr>
                    <w:jc w:val="both"/>
                    <w:rPr>
                      <w:rFonts w:ascii="Arial" w:hAnsi="Arial" w:cs="Arial"/>
                      <w:i/>
                      <w:sz w:val="22"/>
                      <w:szCs w:val="22"/>
                    </w:rPr>
                  </w:pPr>
                </w:p>
                <w:p w:rsidR="00691082" w:rsidRPr="00DE6194" w:rsidRDefault="00691082" w:rsidP="007A7B02">
                  <w:pPr>
                    <w:jc w:val="both"/>
                    <w:rPr>
                      <w:rFonts w:ascii="Arial" w:hAnsi="Arial" w:cs="Arial"/>
                      <w:i/>
                      <w:sz w:val="22"/>
                      <w:szCs w:val="22"/>
                    </w:rPr>
                  </w:pPr>
                  <w:r w:rsidRPr="00DE6194">
                    <w:rPr>
                      <w:rFonts w:ascii="Arial" w:hAnsi="Arial" w:cs="Arial"/>
                      <w:i/>
                      <w:sz w:val="22"/>
                      <w:szCs w:val="22"/>
                    </w:rPr>
                    <w:t>What are the major drivers of differences in non-teacher costs over the schooling journey?</w:t>
                  </w:r>
                </w:p>
                <w:p w:rsidR="00691082" w:rsidRPr="00DE6194" w:rsidRDefault="00691082" w:rsidP="007A7B02">
                  <w:pPr>
                    <w:jc w:val="both"/>
                    <w:rPr>
                      <w:rFonts w:ascii="Arial" w:hAnsi="Arial" w:cs="Arial"/>
                      <w:i/>
                      <w:sz w:val="22"/>
                      <w:szCs w:val="22"/>
                    </w:rPr>
                  </w:pPr>
                </w:p>
                <w:p w:rsidR="00691082" w:rsidRPr="00DE6194" w:rsidRDefault="00691082" w:rsidP="007A7B02">
                  <w:pPr>
                    <w:jc w:val="both"/>
                    <w:rPr>
                      <w:rFonts w:ascii="Arial" w:hAnsi="Arial" w:cs="Arial"/>
                      <w:i/>
                      <w:sz w:val="22"/>
                      <w:szCs w:val="22"/>
                    </w:rPr>
                  </w:pPr>
                  <w:r w:rsidRPr="00DE6194">
                    <w:rPr>
                      <w:rFonts w:ascii="Arial" w:hAnsi="Arial" w:cs="Arial"/>
                      <w:i/>
                      <w:sz w:val="22"/>
                      <w:szCs w:val="22"/>
                    </w:rPr>
                    <w:t xml:space="preserve">Are the costs of providing greater specialisation of learning and more individualised learning pathways at the senior secondary level materially different from providing a broad based curriculum at lower secondary levels? </w:t>
                  </w:r>
                  <w:r>
                    <w:rPr>
                      <w:rFonts w:ascii="Arial" w:hAnsi="Arial" w:cs="Arial"/>
                      <w:i/>
                      <w:sz w:val="22"/>
                      <w:szCs w:val="22"/>
                    </w:rPr>
                    <w:t>How might Communities of Learning change this?</w:t>
                  </w:r>
                </w:p>
                <w:p w:rsidR="00691082" w:rsidRPr="00DE6194" w:rsidRDefault="00691082" w:rsidP="007A7B02">
                  <w:pPr>
                    <w:jc w:val="both"/>
                    <w:rPr>
                      <w:i/>
                    </w:rPr>
                  </w:pPr>
                </w:p>
                <w:p w:rsidR="00CD3070" w:rsidRDefault="00691082">
                  <w:pPr>
                    <w:jc w:val="both"/>
                    <w:rPr>
                      <w:rFonts w:ascii="Arial" w:hAnsi="Arial" w:cs="Arial"/>
                      <w:i/>
                      <w:color w:val="5B9BD5" w:themeColor="accent1"/>
                      <w:sz w:val="22"/>
                      <w:szCs w:val="22"/>
                    </w:rPr>
                  </w:pPr>
                  <w:r>
                    <w:rPr>
                      <w:rFonts w:ascii="Arial" w:hAnsi="Arial" w:cs="Arial"/>
                      <w:i/>
                      <w:sz w:val="22"/>
                      <w:szCs w:val="22"/>
                    </w:rPr>
                    <w:t xml:space="preserve">To what extent is the teaching and learning challenge increased by the </w:t>
                  </w:r>
                  <w:r w:rsidRPr="00DE6194">
                    <w:rPr>
                      <w:rFonts w:ascii="Arial" w:hAnsi="Arial" w:cs="Arial"/>
                      <w:i/>
                      <w:sz w:val="22"/>
                      <w:szCs w:val="22"/>
                    </w:rPr>
                    <w:t xml:space="preserve">need to support </w:t>
                  </w:r>
                  <w:r>
                    <w:rPr>
                      <w:rFonts w:ascii="Arial" w:hAnsi="Arial" w:cs="Arial"/>
                      <w:i/>
                      <w:sz w:val="22"/>
                      <w:szCs w:val="22"/>
                    </w:rPr>
                    <w:t>students</w:t>
                  </w:r>
                  <w:r w:rsidRPr="00DE6194">
                    <w:rPr>
                      <w:rFonts w:ascii="Arial" w:hAnsi="Arial" w:cs="Arial"/>
                      <w:i/>
                      <w:sz w:val="22"/>
                      <w:szCs w:val="22"/>
                    </w:rPr>
                    <w:t xml:space="preserve"> to develop language proficiency</w:t>
                  </w:r>
                  <w:r>
                    <w:rPr>
                      <w:rFonts w:ascii="Arial" w:hAnsi="Arial" w:cs="Arial"/>
                      <w:i/>
                      <w:sz w:val="22"/>
                      <w:szCs w:val="22"/>
                    </w:rPr>
                    <w:t>,</w:t>
                  </w:r>
                  <w:r w:rsidRPr="00DE6194">
                    <w:rPr>
                      <w:rFonts w:ascii="Arial" w:hAnsi="Arial" w:cs="Arial"/>
                      <w:i/>
                      <w:sz w:val="22"/>
                      <w:szCs w:val="22"/>
                    </w:rPr>
                    <w:t xml:space="preserve"> and to make expected progress against Te Marautanga o Aotearoa?  </w:t>
                  </w:r>
                </w:p>
                <w:p w:rsidR="00691082" w:rsidRPr="00CF09FB" w:rsidRDefault="00691082" w:rsidP="009D7B00">
                  <w:pPr>
                    <w:rPr>
                      <w:i/>
                      <w:color w:val="5B9BD5" w:themeColor="accent1"/>
                    </w:rPr>
                  </w:pPr>
                </w:p>
              </w:txbxContent>
            </v:textbox>
          </v:shape>
        </w:pict>
      </w:r>
    </w:p>
    <w:p w:rsidR="009D7B00" w:rsidRPr="00BF7D8F" w:rsidRDefault="009D7B00" w:rsidP="00DE6194">
      <w:pPr>
        <w:jc w:val="both"/>
        <w:rPr>
          <w:rFonts w:ascii="Arial" w:eastAsiaTheme="minorHAnsi" w:hAnsi="Arial" w:cs="Arial"/>
          <w:sz w:val="22"/>
          <w:szCs w:val="22"/>
          <w:lang w:val="en-NZ"/>
        </w:rPr>
      </w:pPr>
    </w:p>
    <w:p w:rsidR="009D7B00" w:rsidRPr="00BF7D8F" w:rsidRDefault="009D7B00" w:rsidP="00DE6194">
      <w:pPr>
        <w:jc w:val="both"/>
        <w:rPr>
          <w:rFonts w:ascii="Arial" w:eastAsiaTheme="minorHAnsi" w:hAnsi="Arial" w:cs="Arial"/>
          <w:sz w:val="22"/>
          <w:szCs w:val="22"/>
          <w:lang w:val="en-NZ"/>
        </w:rPr>
      </w:pPr>
    </w:p>
    <w:p w:rsidR="009D7B00" w:rsidRPr="00BF7D8F" w:rsidRDefault="009D7B00" w:rsidP="00DE6194">
      <w:pPr>
        <w:jc w:val="both"/>
        <w:rPr>
          <w:rFonts w:ascii="Arial" w:eastAsiaTheme="minorHAnsi" w:hAnsi="Arial" w:cs="Arial"/>
          <w:sz w:val="22"/>
          <w:szCs w:val="22"/>
          <w:lang w:val="en-NZ"/>
        </w:rPr>
      </w:pPr>
    </w:p>
    <w:p w:rsidR="009D7B00" w:rsidRPr="00BF7D8F" w:rsidRDefault="009D7B00" w:rsidP="00DE6194">
      <w:pPr>
        <w:jc w:val="both"/>
        <w:rPr>
          <w:rFonts w:ascii="Arial" w:eastAsiaTheme="minorHAnsi" w:hAnsi="Arial" w:cs="Arial"/>
          <w:sz w:val="22"/>
          <w:szCs w:val="22"/>
          <w:lang w:val="en-NZ"/>
        </w:rPr>
      </w:pPr>
    </w:p>
    <w:p w:rsidR="009D7B00" w:rsidRPr="00BF7D8F" w:rsidRDefault="009D7B00" w:rsidP="00DE6194">
      <w:pPr>
        <w:jc w:val="both"/>
        <w:rPr>
          <w:rFonts w:ascii="Arial" w:eastAsiaTheme="minorHAnsi" w:hAnsi="Arial" w:cs="Arial"/>
          <w:sz w:val="22"/>
          <w:szCs w:val="22"/>
          <w:lang w:val="en-NZ"/>
        </w:rPr>
      </w:pPr>
    </w:p>
    <w:p w:rsidR="009D7B00" w:rsidRDefault="009D7B00" w:rsidP="00DE6194">
      <w:pPr>
        <w:pStyle w:val="MoEBodyText"/>
        <w:spacing w:after="0"/>
        <w:rPr>
          <w:rFonts w:cs="Arial"/>
          <w:sz w:val="22"/>
          <w:szCs w:val="22"/>
        </w:rPr>
      </w:pPr>
    </w:p>
    <w:p w:rsidR="009D7B00" w:rsidRDefault="009D7B00" w:rsidP="00DE6194">
      <w:pPr>
        <w:pStyle w:val="MoEBodyText"/>
        <w:spacing w:after="0"/>
        <w:rPr>
          <w:rFonts w:cs="Arial"/>
          <w:sz w:val="22"/>
          <w:szCs w:val="22"/>
        </w:rPr>
      </w:pPr>
    </w:p>
    <w:p w:rsidR="009D7B00" w:rsidRDefault="009D7B00" w:rsidP="00DE6194">
      <w:pPr>
        <w:pStyle w:val="MoEBodyText"/>
        <w:spacing w:after="0"/>
        <w:rPr>
          <w:rFonts w:cs="Arial"/>
          <w:sz w:val="22"/>
          <w:szCs w:val="22"/>
        </w:rPr>
      </w:pPr>
    </w:p>
    <w:p w:rsidR="00DE6194" w:rsidRDefault="00DE6194" w:rsidP="00DE6194">
      <w:pPr>
        <w:pStyle w:val="MoEHeading3"/>
        <w:spacing w:before="0" w:after="0" w:line="240" w:lineRule="auto"/>
        <w:jc w:val="both"/>
        <w:rPr>
          <w:rFonts w:cs="Arial"/>
          <w:color w:val="auto"/>
          <w:sz w:val="24"/>
        </w:rPr>
      </w:pPr>
    </w:p>
    <w:p w:rsidR="000F6151" w:rsidRPr="000F6151" w:rsidRDefault="000F6151" w:rsidP="000F6151">
      <w:pPr>
        <w:pStyle w:val="MoEBodyText"/>
      </w:pPr>
    </w:p>
    <w:p w:rsidR="00DE6194" w:rsidRDefault="00DE6194" w:rsidP="00DE6194">
      <w:pPr>
        <w:pStyle w:val="MoEHeading3"/>
        <w:spacing w:before="0" w:after="0" w:line="240" w:lineRule="auto"/>
        <w:jc w:val="both"/>
        <w:rPr>
          <w:rFonts w:cs="Arial"/>
          <w:color w:val="auto"/>
          <w:sz w:val="24"/>
        </w:rPr>
      </w:pPr>
    </w:p>
    <w:p w:rsidR="00DE6194" w:rsidRDefault="00DE6194" w:rsidP="00DE6194">
      <w:pPr>
        <w:pStyle w:val="MoEHeading3"/>
        <w:spacing w:before="0" w:after="0" w:line="240" w:lineRule="auto"/>
        <w:jc w:val="both"/>
        <w:rPr>
          <w:rFonts w:cs="Arial"/>
          <w:color w:val="auto"/>
          <w:sz w:val="24"/>
        </w:rPr>
      </w:pPr>
    </w:p>
    <w:p w:rsidR="000F6151" w:rsidRDefault="000F6151">
      <w:pPr>
        <w:spacing w:after="160" w:line="259" w:lineRule="auto"/>
        <w:rPr>
          <w:rFonts w:ascii="Arial" w:eastAsiaTheme="majorEastAsia" w:hAnsi="Arial" w:cs="Arial"/>
          <w:b/>
          <w:color w:val="0070C0"/>
          <w:lang w:val="en-NZ"/>
        </w:rPr>
      </w:pPr>
      <w:r>
        <w:rPr>
          <w:rFonts w:cs="Arial"/>
          <w:color w:val="0070C0"/>
        </w:rPr>
        <w:br w:type="page"/>
      </w:r>
    </w:p>
    <w:p w:rsidR="009D7B00" w:rsidRPr="00DE6194" w:rsidRDefault="009D7B00" w:rsidP="00DE6194">
      <w:pPr>
        <w:pStyle w:val="MoEHeading3"/>
        <w:spacing w:before="0" w:after="0" w:line="240" w:lineRule="auto"/>
        <w:jc w:val="both"/>
        <w:rPr>
          <w:rFonts w:cs="Arial"/>
          <w:color w:val="0070C0"/>
          <w:sz w:val="24"/>
        </w:rPr>
      </w:pPr>
      <w:r w:rsidRPr="00DE6194">
        <w:rPr>
          <w:rFonts w:cs="Arial"/>
          <w:color w:val="0070C0"/>
          <w:sz w:val="24"/>
        </w:rPr>
        <w:t>Insights from Australia</w:t>
      </w:r>
    </w:p>
    <w:p w:rsidR="00DE6194" w:rsidRPr="00DE6194" w:rsidRDefault="00DE6194" w:rsidP="00DE6194">
      <w:pPr>
        <w:pStyle w:val="MoEBodyText"/>
        <w:spacing w:after="0"/>
      </w:pPr>
    </w:p>
    <w:p w:rsidR="009D7B00" w:rsidRDefault="009D7B00" w:rsidP="00DE6194">
      <w:pPr>
        <w:pStyle w:val="MoEBodyText"/>
        <w:spacing w:after="0" w:line="240" w:lineRule="auto"/>
        <w:jc w:val="both"/>
        <w:rPr>
          <w:rFonts w:cs="Arial"/>
          <w:sz w:val="22"/>
          <w:szCs w:val="22"/>
        </w:rPr>
      </w:pPr>
      <w:r w:rsidRPr="00BF7D8F">
        <w:rPr>
          <w:rFonts w:cs="Arial"/>
          <w:sz w:val="22"/>
          <w:szCs w:val="22"/>
        </w:rPr>
        <w:t xml:space="preserve">We have also looked to some international examples.  Some insights are available from Victoria and Western Australia. </w:t>
      </w:r>
    </w:p>
    <w:p w:rsidR="00DE6194" w:rsidRPr="00BF7D8F" w:rsidRDefault="00DE6194" w:rsidP="00DE6194">
      <w:pPr>
        <w:pStyle w:val="MoEBodyText"/>
        <w:spacing w:after="0" w:line="240" w:lineRule="auto"/>
        <w:jc w:val="both"/>
        <w:rPr>
          <w:rFonts w:cs="Arial"/>
          <w:sz w:val="22"/>
          <w:szCs w:val="22"/>
        </w:rPr>
      </w:pPr>
    </w:p>
    <w:p w:rsidR="009D7B00" w:rsidRPr="00DE6194" w:rsidRDefault="009D7B00" w:rsidP="00DE6194">
      <w:pPr>
        <w:pStyle w:val="MoEBodyText"/>
        <w:spacing w:after="0" w:line="240" w:lineRule="auto"/>
        <w:jc w:val="both"/>
        <w:rPr>
          <w:rFonts w:cs="Arial"/>
          <w:b/>
          <w:color w:val="0070C0"/>
          <w:sz w:val="22"/>
          <w:szCs w:val="22"/>
        </w:rPr>
      </w:pPr>
      <w:r w:rsidRPr="00DE6194">
        <w:rPr>
          <w:rFonts w:cs="Arial"/>
          <w:b/>
          <w:i/>
          <w:color w:val="0070C0"/>
          <w:sz w:val="22"/>
          <w:szCs w:val="22"/>
        </w:rPr>
        <w:t>Western Australia</w:t>
      </w:r>
      <w:r w:rsidRPr="00DE6194">
        <w:rPr>
          <w:rFonts w:cs="Arial"/>
          <w:b/>
          <w:color w:val="0070C0"/>
          <w:sz w:val="22"/>
          <w:szCs w:val="22"/>
        </w:rPr>
        <w:t xml:space="preserve"> </w:t>
      </w:r>
    </w:p>
    <w:p w:rsidR="00DE6194" w:rsidRPr="00BF7D8F" w:rsidRDefault="00DE6194" w:rsidP="00DE6194">
      <w:pPr>
        <w:pStyle w:val="MoEBodyText"/>
        <w:spacing w:after="0" w:line="240" w:lineRule="auto"/>
        <w:jc w:val="both"/>
        <w:rPr>
          <w:rFonts w:cs="Arial"/>
          <w:sz w:val="22"/>
          <w:szCs w:val="22"/>
        </w:rPr>
      </w:pPr>
    </w:p>
    <w:p w:rsidR="00702FE2" w:rsidRPr="00DE6194" w:rsidRDefault="009D7B00" w:rsidP="00DE6194">
      <w:pPr>
        <w:autoSpaceDE w:val="0"/>
        <w:autoSpaceDN w:val="0"/>
        <w:adjustRightInd w:val="0"/>
        <w:jc w:val="both"/>
        <w:rPr>
          <w:rFonts w:ascii="Arial" w:eastAsiaTheme="minorHAnsi" w:hAnsi="Arial" w:cs="Arial"/>
          <w:sz w:val="22"/>
          <w:szCs w:val="22"/>
          <w:lang w:val="en-NZ"/>
        </w:rPr>
      </w:pPr>
      <w:r w:rsidRPr="00DE6194">
        <w:rPr>
          <w:rFonts w:ascii="Arial" w:eastAsiaTheme="minorHAnsi" w:hAnsi="Arial" w:cs="Arial"/>
          <w:sz w:val="22"/>
          <w:szCs w:val="22"/>
          <w:lang w:val="en-NZ"/>
        </w:rPr>
        <w:t xml:space="preserve">In Western Australia the per-student funding level is the same over Pre-primary to Year 3 (equivalent to New Zealand Years 1 to 4), and 20% higher than in their Years 4 to 6 (equivalent to New Zealand Years 5 -7).  </w:t>
      </w:r>
      <w:r w:rsidR="00702FE2" w:rsidRPr="00DE6194">
        <w:rPr>
          <w:rFonts w:ascii="Arial" w:eastAsiaTheme="minorHAnsi" w:hAnsi="Arial" w:cs="Arial"/>
          <w:sz w:val="22"/>
          <w:szCs w:val="22"/>
          <w:lang w:val="en-NZ"/>
        </w:rPr>
        <w:t>Per-student funding rises for Years 7 to 10 (equivalent to New Zealand Years 8 to 11) by around a third</w:t>
      </w:r>
      <w:r w:rsidR="002E067B">
        <w:rPr>
          <w:rFonts w:ascii="Arial" w:eastAsiaTheme="minorHAnsi" w:hAnsi="Arial" w:cs="Arial"/>
          <w:sz w:val="22"/>
          <w:szCs w:val="22"/>
          <w:lang w:val="en-NZ"/>
        </w:rPr>
        <w:t>,</w:t>
      </w:r>
      <w:r w:rsidR="00702FE2" w:rsidRPr="00DE6194">
        <w:rPr>
          <w:rFonts w:ascii="Arial" w:eastAsiaTheme="minorHAnsi" w:hAnsi="Arial" w:cs="Arial"/>
          <w:sz w:val="22"/>
          <w:szCs w:val="22"/>
          <w:lang w:val="en-NZ"/>
        </w:rPr>
        <w:t xml:space="preserve"> and again by 7.5% in Years 11 to 12 (equivalent to New Zealand Years 12 and 13). </w:t>
      </w:r>
    </w:p>
    <w:p w:rsidR="00DE6194" w:rsidRPr="00DE6194" w:rsidRDefault="00DE6194" w:rsidP="00DE6194">
      <w:pPr>
        <w:autoSpaceDE w:val="0"/>
        <w:autoSpaceDN w:val="0"/>
        <w:adjustRightInd w:val="0"/>
        <w:jc w:val="both"/>
        <w:rPr>
          <w:rFonts w:ascii="Arial" w:eastAsiaTheme="minorHAnsi" w:hAnsi="Arial" w:cs="Arial"/>
          <w:sz w:val="22"/>
          <w:szCs w:val="22"/>
          <w:lang w:val="en-NZ"/>
        </w:rPr>
      </w:pPr>
    </w:p>
    <w:p w:rsidR="009D7B00" w:rsidRPr="00DE6194" w:rsidRDefault="009D7B00" w:rsidP="00DE6194">
      <w:pPr>
        <w:autoSpaceDE w:val="0"/>
        <w:autoSpaceDN w:val="0"/>
        <w:adjustRightInd w:val="0"/>
        <w:jc w:val="both"/>
        <w:rPr>
          <w:rFonts w:ascii="Arial" w:hAnsi="Arial" w:cs="Arial"/>
          <w:b/>
          <w:i/>
          <w:color w:val="0070C0"/>
          <w:sz w:val="22"/>
          <w:szCs w:val="22"/>
        </w:rPr>
      </w:pPr>
      <w:r w:rsidRPr="00DE6194">
        <w:rPr>
          <w:rFonts w:ascii="Arial" w:hAnsi="Arial" w:cs="Arial"/>
          <w:b/>
          <w:i/>
          <w:color w:val="0070C0"/>
          <w:sz w:val="22"/>
          <w:szCs w:val="22"/>
        </w:rPr>
        <w:t>Victoria</w:t>
      </w:r>
    </w:p>
    <w:p w:rsidR="00DE6194" w:rsidRPr="00DE6194" w:rsidRDefault="00DE6194" w:rsidP="00DE6194">
      <w:pPr>
        <w:autoSpaceDE w:val="0"/>
        <w:autoSpaceDN w:val="0"/>
        <w:adjustRightInd w:val="0"/>
        <w:jc w:val="both"/>
        <w:rPr>
          <w:rFonts w:ascii="Arial" w:hAnsi="Arial" w:cs="Arial"/>
          <w:i/>
          <w:sz w:val="22"/>
          <w:szCs w:val="22"/>
        </w:rPr>
      </w:pPr>
    </w:p>
    <w:p w:rsidR="00DE6194" w:rsidRDefault="009D7B00" w:rsidP="00DE6194">
      <w:pPr>
        <w:pStyle w:val="MoEBodyText"/>
        <w:spacing w:after="0" w:line="240" w:lineRule="auto"/>
        <w:jc w:val="both"/>
        <w:rPr>
          <w:rFonts w:cs="Arial"/>
          <w:sz w:val="22"/>
          <w:szCs w:val="22"/>
        </w:rPr>
      </w:pPr>
      <w:r w:rsidRPr="00DE6194">
        <w:rPr>
          <w:rFonts w:cs="Arial"/>
          <w:sz w:val="22"/>
          <w:szCs w:val="22"/>
        </w:rPr>
        <w:t>The profile of funding in Victoria</w:t>
      </w:r>
      <w:r w:rsidR="008D40B0">
        <w:rPr>
          <w:rFonts w:cs="Arial"/>
          <w:sz w:val="22"/>
          <w:szCs w:val="22"/>
        </w:rPr>
        <w:t>, Australia</w:t>
      </w:r>
      <w:r w:rsidRPr="00DE6194">
        <w:rPr>
          <w:rFonts w:cs="Arial"/>
          <w:sz w:val="22"/>
          <w:szCs w:val="22"/>
        </w:rPr>
        <w:t xml:space="preserve"> also follows a u-shape</w:t>
      </w:r>
      <w:r w:rsidR="008D40B0">
        <w:rPr>
          <w:rFonts w:cs="Arial"/>
          <w:sz w:val="22"/>
          <w:szCs w:val="22"/>
        </w:rPr>
        <w:t>,</w:t>
      </w:r>
      <w:r w:rsidRPr="00DE6194">
        <w:rPr>
          <w:rFonts w:cs="Arial"/>
          <w:sz w:val="22"/>
          <w:szCs w:val="22"/>
        </w:rPr>
        <w:t xml:space="preserve"> but is shallower than in New Zealand. The following graph shows funding </w:t>
      </w:r>
      <w:r w:rsidR="008D40B0">
        <w:rPr>
          <w:rFonts w:cs="Arial"/>
          <w:sz w:val="22"/>
          <w:szCs w:val="22"/>
        </w:rPr>
        <w:t>amounts</w:t>
      </w:r>
      <w:r w:rsidRPr="00DE6194">
        <w:rPr>
          <w:rFonts w:cs="Arial"/>
          <w:sz w:val="22"/>
          <w:szCs w:val="22"/>
        </w:rPr>
        <w:t xml:space="preserve"> for 2016</w:t>
      </w:r>
      <w:r w:rsidR="008D40B0">
        <w:rPr>
          <w:rFonts w:cs="Arial"/>
          <w:sz w:val="22"/>
          <w:szCs w:val="22"/>
        </w:rPr>
        <w:t xml:space="preserve">. </w:t>
      </w:r>
      <w:r w:rsidRPr="00DE6194">
        <w:rPr>
          <w:rFonts w:cs="Arial"/>
          <w:sz w:val="22"/>
          <w:szCs w:val="22"/>
        </w:rPr>
        <w:t xml:space="preserve"> The per-</w:t>
      </w:r>
      <w:r w:rsidR="008D40B0">
        <w:rPr>
          <w:rFonts w:cs="Arial"/>
          <w:sz w:val="22"/>
          <w:szCs w:val="22"/>
        </w:rPr>
        <w:t>student</w:t>
      </w:r>
      <w:r w:rsidRPr="00DE6194">
        <w:rPr>
          <w:rFonts w:cs="Arial"/>
          <w:sz w:val="22"/>
          <w:szCs w:val="22"/>
        </w:rPr>
        <w:t xml:space="preserve"> funding rate for Prep to Year 2 (our Year 1 to 3) is 17% higher than for Years 3 to 6.  All secondary year levels</w:t>
      </w:r>
      <w:r w:rsidRPr="00BF7D8F">
        <w:rPr>
          <w:rFonts w:cs="Arial"/>
          <w:sz w:val="22"/>
          <w:szCs w:val="22"/>
        </w:rPr>
        <w:t xml:space="preserve"> are funded at the same rate which is 33% higher than for Years 3 to 6.  </w:t>
      </w:r>
    </w:p>
    <w:p w:rsidR="009D7B00" w:rsidRPr="00BF7D8F" w:rsidRDefault="009D7B00" w:rsidP="00DE6194">
      <w:pPr>
        <w:pStyle w:val="MoEBodyText"/>
        <w:spacing w:after="0" w:line="240" w:lineRule="auto"/>
        <w:jc w:val="both"/>
        <w:rPr>
          <w:rFonts w:cs="Arial"/>
          <w:sz w:val="22"/>
          <w:szCs w:val="22"/>
        </w:rPr>
      </w:pPr>
      <w:r w:rsidRPr="00BF7D8F">
        <w:rPr>
          <w:rFonts w:cs="Arial"/>
          <w:sz w:val="22"/>
          <w:szCs w:val="22"/>
        </w:rPr>
        <w:t xml:space="preserve">  </w:t>
      </w:r>
    </w:p>
    <w:p w:rsidR="009D7B00" w:rsidRPr="00DE6194" w:rsidRDefault="009D7B00" w:rsidP="000F6151">
      <w:pPr>
        <w:pStyle w:val="MoEBodyText"/>
        <w:spacing w:after="0" w:line="240" w:lineRule="auto"/>
        <w:jc w:val="center"/>
        <w:rPr>
          <w:rFonts w:cs="Arial"/>
          <w:b/>
        </w:rPr>
      </w:pPr>
      <w:r w:rsidRPr="00DE6194">
        <w:rPr>
          <w:rFonts w:cs="Arial"/>
          <w:b/>
        </w:rPr>
        <w:t>Graph 2: Relative value of per-</w:t>
      </w:r>
      <w:r w:rsidR="008D40B0">
        <w:rPr>
          <w:rFonts w:cs="Arial"/>
          <w:b/>
        </w:rPr>
        <w:t>student</w:t>
      </w:r>
      <w:r w:rsidRPr="00DE6194">
        <w:rPr>
          <w:rFonts w:cs="Arial"/>
          <w:b/>
        </w:rPr>
        <w:t xml:space="preserve"> funding rates for Victoria, Australia</w:t>
      </w:r>
    </w:p>
    <w:p w:rsidR="009D7B00" w:rsidRPr="00BF7D8F" w:rsidRDefault="009D7B00" w:rsidP="000F6151">
      <w:pPr>
        <w:pStyle w:val="MoEBodyText"/>
        <w:spacing w:after="0" w:line="240" w:lineRule="auto"/>
        <w:jc w:val="center"/>
        <w:rPr>
          <w:rFonts w:cs="Arial"/>
          <w:sz w:val="22"/>
          <w:szCs w:val="22"/>
        </w:rPr>
      </w:pPr>
      <w:r w:rsidRPr="00BF7D8F">
        <w:rPr>
          <w:rFonts w:cs="Arial"/>
          <w:noProof/>
          <w:sz w:val="22"/>
          <w:szCs w:val="22"/>
          <w:lang w:eastAsia="en-NZ"/>
        </w:rPr>
        <w:drawing>
          <wp:inline distT="0" distB="0" distL="0" distR="0">
            <wp:extent cx="4575219" cy="2790496"/>
            <wp:effectExtent l="19050" t="0" r="15831"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51758" w:rsidRDefault="0017593F" w:rsidP="00DE6194">
      <w:pPr>
        <w:pStyle w:val="MoEBodyText"/>
        <w:spacing w:after="0" w:line="240" w:lineRule="auto"/>
        <w:jc w:val="both"/>
        <w:rPr>
          <w:rFonts w:cs="Arial"/>
          <w:sz w:val="22"/>
          <w:szCs w:val="22"/>
        </w:rPr>
      </w:pPr>
      <w:r>
        <w:rPr>
          <w:rFonts w:cs="Arial"/>
          <w:noProof/>
          <w:sz w:val="22"/>
          <w:szCs w:val="22"/>
          <w:lang w:eastAsia="en-NZ"/>
        </w:rPr>
        <w:pict>
          <v:shapetype id="_x0000_t32" coordsize="21600,21600" o:spt="32" o:oned="t" path="m,l21600,21600e" filled="f">
            <v:path arrowok="t" fillok="f" o:connecttype="none"/>
            <o:lock v:ext="edit" shapetype="t"/>
          </v:shapetype>
          <v:shape id="_x0000_s1031" type="#_x0000_t32" style="position:absolute;left:0;text-align:left;margin-left:63.3pt;margin-top:.05pt;width:361.25pt;height:1.25pt;flip:y;z-index:251663360" o:connectortype="straight"/>
        </w:pict>
      </w:r>
    </w:p>
    <w:p w:rsidR="009D7B00" w:rsidRDefault="009D7B00" w:rsidP="00DE6194">
      <w:pPr>
        <w:pStyle w:val="MoEBodyText"/>
        <w:spacing w:after="0" w:line="240" w:lineRule="auto"/>
        <w:jc w:val="both"/>
        <w:rPr>
          <w:rFonts w:cs="Arial"/>
          <w:sz w:val="22"/>
          <w:szCs w:val="22"/>
        </w:rPr>
      </w:pPr>
      <w:r w:rsidRPr="00BF7D8F">
        <w:rPr>
          <w:rFonts w:cs="Arial"/>
          <w:sz w:val="22"/>
          <w:szCs w:val="22"/>
        </w:rPr>
        <w:t>Victoria has a ‘dynamic</w:t>
      </w:r>
      <w:r w:rsidR="001C7B5D">
        <w:rPr>
          <w:rFonts w:cs="Arial"/>
          <w:sz w:val="22"/>
          <w:szCs w:val="22"/>
        </w:rPr>
        <w:t>’ funding model</w:t>
      </w:r>
      <w:r w:rsidRPr="00BF7D8F">
        <w:rPr>
          <w:rFonts w:cs="Arial"/>
          <w:sz w:val="22"/>
          <w:szCs w:val="22"/>
        </w:rPr>
        <w:t xml:space="preserve"> in the sense that since 2005 the </w:t>
      </w:r>
      <w:r w:rsidR="008D40B0">
        <w:rPr>
          <w:rFonts w:cs="Arial"/>
          <w:sz w:val="22"/>
          <w:szCs w:val="22"/>
        </w:rPr>
        <w:t>profile of funding rates across year levels is</w:t>
      </w:r>
      <w:r w:rsidRPr="00BF7D8F">
        <w:rPr>
          <w:rFonts w:cs="Arial"/>
          <w:sz w:val="22"/>
          <w:szCs w:val="22"/>
        </w:rPr>
        <w:t xml:space="preserve"> reviewed every three years. Since 2005 there has been a simplification and marginal flattening of the distribution.</w:t>
      </w:r>
      <w:r w:rsidRPr="00BF7D8F">
        <w:rPr>
          <w:rStyle w:val="FootnoteReference"/>
          <w:rFonts w:cs="Arial"/>
          <w:sz w:val="22"/>
          <w:szCs w:val="22"/>
        </w:rPr>
        <w:footnoteReference w:id="8"/>
      </w:r>
      <w:r w:rsidRPr="00BF7D8F">
        <w:rPr>
          <w:rFonts w:cs="Arial"/>
          <w:sz w:val="22"/>
          <w:szCs w:val="22"/>
        </w:rPr>
        <w:t xml:space="preserve"> The setting of relativities is informed by research on school effectiveness and the analysis of expenditure patterns in sample schools. The effectiveness takes into account a range of student outcomes including engagement, achievement, retention and transition.</w:t>
      </w:r>
    </w:p>
    <w:p w:rsidR="008D40B0" w:rsidRPr="00BF7D8F" w:rsidRDefault="008D40B0" w:rsidP="00DE6194">
      <w:pPr>
        <w:pStyle w:val="MoEBodyText"/>
        <w:spacing w:after="0" w:line="240" w:lineRule="auto"/>
        <w:jc w:val="both"/>
        <w:rPr>
          <w:rFonts w:cs="Arial"/>
          <w:sz w:val="22"/>
          <w:szCs w:val="22"/>
        </w:rPr>
      </w:pPr>
    </w:p>
    <w:p w:rsidR="009D7B00" w:rsidRDefault="009D7B00" w:rsidP="00DE6194">
      <w:pPr>
        <w:pStyle w:val="MoEBodyText"/>
        <w:spacing w:after="0" w:line="240" w:lineRule="auto"/>
        <w:jc w:val="both"/>
        <w:rPr>
          <w:sz w:val="22"/>
          <w:szCs w:val="22"/>
        </w:rPr>
      </w:pPr>
      <w:r w:rsidRPr="00BF7D8F">
        <w:rPr>
          <w:rFonts w:cs="Arial"/>
          <w:sz w:val="22"/>
          <w:szCs w:val="22"/>
        </w:rPr>
        <w:t xml:space="preserve">For example, </w:t>
      </w:r>
      <w:r w:rsidRPr="00BF7D8F">
        <w:rPr>
          <w:sz w:val="22"/>
          <w:szCs w:val="22"/>
        </w:rPr>
        <w:t>2011 benchmarking research confirmed previous</w:t>
      </w:r>
      <w:r w:rsidR="00A42349">
        <w:rPr>
          <w:sz w:val="22"/>
          <w:szCs w:val="22"/>
        </w:rPr>
        <w:t xml:space="preserve"> research that in Victoria high-</w:t>
      </w:r>
      <w:r w:rsidRPr="00BF7D8F">
        <w:rPr>
          <w:sz w:val="22"/>
          <w:szCs w:val="22"/>
        </w:rPr>
        <w:t>performing primary schools consistently spent more money on preparator</w:t>
      </w:r>
      <w:r w:rsidR="00A42349">
        <w:rPr>
          <w:sz w:val="22"/>
          <w:szCs w:val="22"/>
        </w:rPr>
        <w:t>y and early years, whereas high-</w:t>
      </w:r>
      <w:r w:rsidRPr="00BF7D8F">
        <w:rPr>
          <w:sz w:val="22"/>
          <w:szCs w:val="22"/>
        </w:rPr>
        <w:t xml:space="preserve">performing secondary schools spent slightly more at the most senior levels.  To encourage secondary schools to invest in early intervention, a decision was taken to </w:t>
      </w:r>
      <w:r w:rsidR="008D40B0">
        <w:rPr>
          <w:sz w:val="22"/>
          <w:szCs w:val="22"/>
        </w:rPr>
        <w:t>establish a common funding level across Y</w:t>
      </w:r>
      <w:r w:rsidRPr="00BF7D8F">
        <w:rPr>
          <w:sz w:val="22"/>
          <w:szCs w:val="22"/>
        </w:rPr>
        <w:t>ears 7 to 12.</w:t>
      </w:r>
    </w:p>
    <w:p w:rsidR="008D40B0" w:rsidRPr="00BF7D8F" w:rsidRDefault="008D40B0" w:rsidP="00DE6194">
      <w:pPr>
        <w:pStyle w:val="MoEBodyText"/>
        <w:spacing w:after="0" w:line="240" w:lineRule="auto"/>
        <w:jc w:val="both"/>
        <w:rPr>
          <w:rFonts w:cs="Arial"/>
          <w:sz w:val="22"/>
          <w:szCs w:val="22"/>
        </w:rPr>
      </w:pPr>
    </w:p>
    <w:p w:rsidR="009D7B00" w:rsidRDefault="009D7B00" w:rsidP="00DE6194">
      <w:pPr>
        <w:pStyle w:val="MoEBodyText"/>
        <w:spacing w:after="0" w:line="240" w:lineRule="auto"/>
        <w:jc w:val="both"/>
        <w:rPr>
          <w:rFonts w:cs="Arial"/>
          <w:sz w:val="22"/>
          <w:szCs w:val="22"/>
        </w:rPr>
      </w:pPr>
      <w:r w:rsidRPr="00BF7D8F">
        <w:rPr>
          <w:rFonts w:cs="Arial"/>
          <w:sz w:val="22"/>
          <w:szCs w:val="22"/>
        </w:rPr>
        <w:t>Over time</w:t>
      </w:r>
      <w:r w:rsidR="00A42349">
        <w:rPr>
          <w:rFonts w:cs="Arial"/>
          <w:sz w:val="22"/>
          <w:szCs w:val="22"/>
        </w:rPr>
        <w:t>,</w:t>
      </w:r>
      <w:r w:rsidRPr="00BF7D8F">
        <w:rPr>
          <w:rFonts w:cs="Arial"/>
          <w:sz w:val="22"/>
          <w:szCs w:val="22"/>
        </w:rPr>
        <w:t xml:space="preserve"> there may be an opportunity for </w:t>
      </w:r>
      <w:r w:rsidR="008D40B0">
        <w:rPr>
          <w:rFonts w:cs="Arial"/>
          <w:sz w:val="22"/>
          <w:szCs w:val="22"/>
        </w:rPr>
        <w:t>New Zealand</w:t>
      </w:r>
      <w:r w:rsidRPr="00BF7D8F">
        <w:rPr>
          <w:rFonts w:cs="Arial"/>
          <w:sz w:val="22"/>
          <w:szCs w:val="22"/>
        </w:rPr>
        <w:t xml:space="preserve"> to build a stronger information base to align with the Victorian approach.  This would require more reliable and long-running information on the pattern of education achievement, information on the funding allocation choices of efficient and effective schools, and </w:t>
      </w:r>
      <w:r w:rsidR="008D40B0">
        <w:rPr>
          <w:rFonts w:cs="Arial"/>
          <w:sz w:val="22"/>
          <w:szCs w:val="22"/>
        </w:rPr>
        <w:t xml:space="preserve">the ability </w:t>
      </w:r>
      <w:r w:rsidRPr="00BF7D8F">
        <w:rPr>
          <w:rFonts w:cs="Arial"/>
          <w:sz w:val="22"/>
          <w:szCs w:val="22"/>
        </w:rPr>
        <w:t xml:space="preserve">to isolate the impact of funding patterns on educational achievement from other potential factors. </w:t>
      </w:r>
    </w:p>
    <w:p w:rsidR="00DE6194" w:rsidRPr="00BF7D8F" w:rsidRDefault="00DE6194" w:rsidP="00DE6194">
      <w:pPr>
        <w:pStyle w:val="MoEBodyText"/>
        <w:spacing w:after="0" w:line="240" w:lineRule="auto"/>
        <w:jc w:val="both"/>
        <w:rPr>
          <w:rFonts w:cs="Arial"/>
          <w:sz w:val="22"/>
          <w:szCs w:val="22"/>
        </w:rPr>
      </w:pPr>
    </w:p>
    <w:p w:rsidR="009D7B00" w:rsidRPr="00BF7D8F" w:rsidRDefault="0017593F" w:rsidP="00DE6194">
      <w:pPr>
        <w:pStyle w:val="MoEBodyText"/>
        <w:spacing w:after="0" w:line="240" w:lineRule="auto"/>
        <w:jc w:val="both"/>
        <w:rPr>
          <w:rFonts w:cs="Arial"/>
          <w:sz w:val="22"/>
          <w:szCs w:val="22"/>
        </w:rPr>
      </w:pPr>
      <w:r>
        <w:rPr>
          <w:rFonts w:cs="Arial"/>
          <w:noProof/>
          <w:sz w:val="22"/>
          <w:szCs w:val="22"/>
          <w:lang w:eastAsia="en-NZ"/>
        </w:rPr>
        <w:pict>
          <v:shape id="_x0000_s1026" type="#_x0000_t202" style="position:absolute;left:0;text-align:left;margin-left:1.25pt;margin-top:1.2pt;width:490.35pt;height:130.65pt;z-index:251660288">
            <v:textbox>
              <w:txbxContent>
                <w:p w:rsidR="00691082" w:rsidRDefault="00691082" w:rsidP="000E1659">
                  <w:pPr>
                    <w:jc w:val="both"/>
                    <w:rPr>
                      <w:rFonts w:ascii="Arial" w:hAnsi="Arial" w:cs="Arial"/>
                      <w:i/>
                      <w:sz w:val="22"/>
                      <w:szCs w:val="22"/>
                    </w:rPr>
                  </w:pPr>
                  <w:r>
                    <w:rPr>
                      <w:rFonts w:ascii="Arial" w:hAnsi="Arial" w:cs="Arial"/>
                      <w:i/>
                      <w:sz w:val="22"/>
                      <w:szCs w:val="22"/>
                    </w:rPr>
                    <w:t>Questions for discussion</w:t>
                  </w:r>
                </w:p>
                <w:p w:rsidR="00691082" w:rsidRDefault="00691082" w:rsidP="000E1659">
                  <w:pPr>
                    <w:jc w:val="both"/>
                    <w:rPr>
                      <w:rFonts w:ascii="Arial" w:hAnsi="Arial" w:cs="Arial"/>
                      <w:i/>
                      <w:sz w:val="22"/>
                      <w:szCs w:val="22"/>
                    </w:rPr>
                  </w:pPr>
                </w:p>
                <w:p w:rsidR="00691082" w:rsidRPr="00DE6194" w:rsidRDefault="00691082" w:rsidP="000E1659">
                  <w:pPr>
                    <w:jc w:val="both"/>
                    <w:rPr>
                      <w:rFonts w:ascii="Arial" w:hAnsi="Arial" w:cs="Arial"/>
                      <w:i/>
                      <w:sz w:val="22"/>
                      <w:szCs w:val="22"/>
                    </w:rPr>
                  </w:pPr>
                  <w:r w:rsidRPr="00DE6194">
                    <w:rPr>
                      <w:rFonts w:ascii="Arial" w:hAnsi="Arial" w:cs="Arial"/>
                      <w:i/>
                      <w:sz w:val="22"/>
                      <w:szCs w:val="22"/>
                    </w:rPr>
                    <w:t>Would there be value in seeking to move toward a more evidenced</w:t>
                  </w:r>
                  <w:r>
                    <w:rPr>
                      <w:rFonts w:ascii="Arial" w:hAnsi="Arial" w:cs="Arial"/>
                      <w:i/>
                      <w:sz w:val="22"/>
                      <w:szCs w:val="22"/>
                    </w:rPr>
                    <w:t xml:space="preserve">-based </w:t>
                  </w:r>
                  <w:r w:rsidRPr="00DE6194">
                    <w:rPr>
                      <w:rFonts w:ascii="Arial" w:hAnsi="Arial" w:cs="Arial"/>
                      <w:i/>
                      <w:sz w:val="22"/>
                      <w:szCs w:val="22"/>
                    </w:rPr>
                    <w:t>model similar to Victoria?</w:t>
                  </w:r>
                </w:p>
                <w:p w:rsidR="00691082" w:rsidRPr="00DE6194" w:rsidRDefault="00691082" w:rsidP="000E1659">
                  <w:pPr>
                    <w:jc w:val="both"/>
                    <w:rPr>
                      <w:rFonts w:ascii="Arial" w:hAnsi="Arial" w:cs="Arial"/>
                      <w:i/>
                      <w:sz w:val="22"/>
                      <w:szCs w:val="22"/>
                    </w:rPr>
                  </w:pPr>
                </w:p>
                <w:p w:rsidR="00691082" w:rsidRPr="00DE6194" w:rsidRDefault="00691082" w:rsidP="000E1659">
                  <w:pPr>
                    <w:jc w:val="both"/>
                    <w:rPr>
                      <w:rFonts w:ascii="Arial" w:hAnsi="Arial" w:cs="Arial"/>
                      <w:i/>
                      <w:sz w:val="22"/>
                      <w:szCs w:val="22"/>
                    </w:rPr>
                  </w:pPr>
                  <w:r w:rsidRPr="00DE6194">
                    <w:rPr>
                      <w:rFonts w:ascii="Arial" w:hAnsi="Arial" w:cs="Arial"/>
                      <w:i/>
                      <w:sz w:val="22"/>
                      <w:szCs w:val="22"/>
                    </w:rPr>
                    <w:t xml:space="preserve">Would resetting the funding thresholds at intervals to provide for a dynamic model </w:t>
                  </w:r>
                  <w:r>
                    <w:rPr>
                      <w:rFonts w:ascii="Arial" w:hAnsi="Arial" w:cs="Arial"/>
                      <w:i/>
                      <w:sz w:val="22"/>
                      <w:szCs w:val="22"/>
                    </w:rPr>
                    <w:t>add value to our funding system</w:t>
                  </w:r>
                  <w:r w:rsidRPr="00DE6194">
                    <w:rPr>
                      <w:rFonts w:ascii="Arial" w:hAnsi="Arial" w:cs="Arial"/>
                      <w:i/>
                      <w:sz w:val="22"/>
                      <w:szCs w:val="22"/>
                    </w:rPr>
                    <w:t>?</w:t>
                  </w:r>
                </w:p>
                <w:p w:rsidR="00691082" w:rsidRPr="00DE6194" w:rsidRDefault="00691082" w:rsidP="000E1659">
                  <w:pPr>
                    <w:jc w:val="both"/>
                    <w:rPr>
                      <w:rFonts w:ascii="Arial" w:hAnsi="Arial" w:cs="Arial"/>
                      <w:i/>
                      <w:sz w:val="22"/>
                      <w:szCs w:val="22"/>
                    </w:rPr>
                  </w:pPr>
                </w:p>
                <w:p w:rsidR="00691082" w:rsidRPr="00DE6194" w:rsidRDefault="00691082" w:rsidP="000E1659">
                  <w:pPr>
                    <w:jc w:val="both"/>
                    <w:rPr>
                      <w:rFonts w:ascii="Arial" w:hAnsi="Arial" w:cs="Arial"/>
                      <w:i/>
                      <w:sz w:val="22"/>
                      <w:szCs w:val="22"/>
                    </w:rPr>
                  </w:pPr>
                  <w:r w:rsidRPr="00DE6194">
                    <w:rPr>
                      <w:rFonts w:ascii="Arial" w:hAnsi="Arial" w:cs="Arial"/>
                      <w:i/>
                      <w:sz w:val="22"/>
                      <w:szCs w:val="22"/>
                    </w:rPr>
                    <w:t xml:space="preserve">How should effective and efficient schools be identified?  </w:t>
                  </w:r>
                </w:p>
              </w:txbxContent>
            </v:textbox>
          </v:shape>
        </w:pict>
      </w:r>
    </w:p>
    <w:p w:rsidR="009D7B00" w:rsidRPr="00BF7D8F" w:rsidRDefault="009D7B00" w:rsidP="00DE6194">
      <w:pPr>
        <w:pStyle w:val="MoEHeading3"/>
        <w:spacing w:before="0" w:after="0" w:line="240" w:lineRule="auto"/>
        <w:jc w:val="both"/>
        <w:rPr>
          <w:rFonts w:cs="Arial"/>
          <w:color w:val="auto"/>
          <w:sz w:val="24"/>
        </w:rPr>
      </w:pPr>
      <w:bookmarkStart w:id="2" w:name="_Toc446331381"/>
    </w:p>
    <w:p w:rsidR="009D7B00" w:rsidRPr="00BF7D8F" w:rsidRDefault="009D7B00" w:rsidP="00DE6194">
      <w:pPr>
        <w:pStyle w:val="MoEHeading3"/>
        <w:spacing w:before="0" w:after="0" w:line="240" w:lineRule="auto"/>
        <w:jc w:val="both"/>
        <w:rPr>
          <w:rFonts w:cs="Arial"/>
          <w:color w:val="auto"/>
          <w:sz w:val="24"/>
        </w:rPr>
      </w:pPr>
    </w:p>
    <w:p w:rsidR="009D7B00" w:rsidRPr="00BF7D8F" w:rsidRDefault="009D7B00" w:rsidP="00DE6194">
      <w:pPr>
        <w:pStyle w:val="MoEHeading3"/>
        <w:spacing w:before="0" w:after="0" w:line="240" w:lineRule="auto"/>
        <w:jc w:val="both"/>
        <w:rPr>
          <w:rFonts w:cs="Arial"/>
          <w:color w:val="auto"/>
          <w:sz w:val="24"/>
        </w:rPr>
      </w:pPr>
    </w:p>
    <w:p w:rsidR="009D7B00" w:rsidRPr="00BF7D8F" w:rsidRDefault="009D7B00" w:rsidP="00DE6194">
      <w:pPr>
        <w:pStyle w:val="MoEHeading3"/>
        <w:spacing w:before="0" w:after="0" w:line="240" w:lineRule="auto"/>
        <w:jc w:val="both"/>
        <w:rPr>
          <w:rFonts w:cs="Arial"/>
          <w:color w:val="auto"/>
          <w:sz w:val="24"/>
        </w:rPr>
      </w:pPr>
      <w:bookmarkStart w:id="3" w:name="_Toc446331383"/>
      <w:bookmarkEnd w:id="2"/>
    </w:p>
    <w:p w:rsidR="009D7B00" w:rsidRPr="00BF7D8F" w:rsidRDefault="009D7B00" w:rsidP="00DE6194">
      <w:pPr>
        <w:pStyle w:val="MoEHeading3"/>
        <w:spacing w:before="0" w:after="0" w:line="240" w:lineRule="auto"/>
        <w:jc w:val="both"/>
        <w:rPr>
          <w:rFonts w:cs="Arial"/>
          <w:color w:val="auto"/>
          <w:sz w:val="24"/>
        </w:rPr>
      </w:pPr>
    </w:p>
    <w:bookmarkEnd w:id="3"/>
    <w:p w:rsidR="009D7B00" w:rsidRPr="00BF7D8F" w:rsidRDefault="009D7B00" w:rsidP="00DE6194">
      <w:pPr>
        <w:contextualSpacing/>
        <w:jc w:val="both"/>
        <w:rPr>
          <w:rFonts w:ascii="Arial" w:hAnsi="Arial" w:cs="Arial"/>
          <w:sz w:val="16"/>
          <w:szCs w:val="16"/>
        </w:rPr>
      </w:pPr>
    </w:p>
    <w:p w:rsidR="009D7B00" w:rsidRPr="00BF7D8F" w:rsidRDefault="009D7B00" w:rsidP="00DE6194">
      <w:pPr>
        <w:contextualSpacing/>
        <w:jc w:val="both"/>
        <w:rPr>
          <w:rFonts w:ascii="Arial" w:hAnsi="Arial" w:cs="Arial"/>
          <w:sz w:val="22"/>
          <w:szCs w:val="22"/>
        </w:rPr>
      </w:pPr>
    </w:p>
    <w:p w:rsidR="0034271D" w:rsidRPr="00DF7F3C" w:rsidRDefault="0034271D" w:rsidP="00DE6194">
      <w:pPr>
        <w:rPr>
          <w:rFonts w:ascii="Arial" w:hAnsi="Arial" w:cs="Arial"/>
        </w:rPr>
      </w:pPr>
    </w:p>
    <w:sectPr w:rsidR="0034271D" w:rsidRPr="00DF7F3C" w:rsidSect="00D33614">
      <w:headerReference w:type="default" r:id="rId12"/>
      <w:footerReference w:type="default" r:id="rId13"/>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082" w:rsidRDefault="00691082" w:rsidP="009D7B00">
      <w:r>
        <w:separator/>
      </w:r>
    </w:p>
  </w:endnote>
  <w:endnote w:type="continuationSeparator" w:id="0">
    <w:p w:rsidR="00691082" w:rsidRDefault="00691082" w:rsidP="009D7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id w:val="180484577"/>
      <w:docPartObj>
        <w:docPartGallery w:val="Page Numbers (Bottom of Page)"/>
        <w:docPartUnique/>
      </w:docPartObj>
    </w:sdtPr>
    <w:sdtEndPr>
      <w:rPr>
        <w:i/>
        <w:sz w:val="16"/>
        <w:szCs w:val="16"/>
      </w:rPr>
    </w:sdtEndPr>
    <w:sdtContent>
      <w:p w:rsidR="00691082" w:rsidRPr="00EB559C" w:rsidRDefault="00912726" w:rsidP="000F6151">
        <w:pPr>
          <w:pStyle w:val="Footer"/>
          <w:tabs>
            <w:tab w:val="clear" w:pos="9026"/>
            <w:tab w:val="right" w:pos="9781"/>
          </w:tabs>
          <w:rPr>
            <w:rFonts w:ascii="Arial" w:hAnsi="Arial" w:cs="Arial"/>
            <w:i/>
            <w:sz w:val="16"/>
            <w:szCs w:val="16"/>
          </w:rPr>
        </w:pPr>
        <w:r>
          <w:rPr>
            <w:rFonts w:ascii="Arial" w:hAnsi="Arial" w:cs="Arial"/>
            <w:sz w:val="20"/>
            <w:szCs w:val="20"/>
          </w:rPr>
          <w:t>10/06/2016</w:t>
        </w:r>
        <w:r w:rsidR="00691082" w:rsidRPr="00EB559C">
          <w:rPr>
            <w:rFonts w:ascii="Arial" w:hAnsi="Arial" w:cs="Arial"/>
            <w:i/>
            <w:sz w:val="16"/>
            <w:szCs w:val="16"/>
          </w:rPr>
          <w:tab/>
        </w:r>
        <w:r w:rsidR="00691082" w:rsidRPr="00EB559C">
          <w:rPr>
            <w:rFonts w:ascii="Arial" w:hAnsi="Arial" w:cs="Arial"/>
            <w:i/>
            <w:sz w:val="16"/>
            <w:szCs w:val="16"/>
          </w:rPr>
          <w:tab/>
        </w:r>
        <w:r w:rsidR="0017593F" w:rsidRPr="00EB559C">
          <w:rPr>
            <w:rFonts w:ascii="Arial" w:hAnsi="Arial" w:cs="Arial"/>
            <w:i/>
            <w:sz w:val="16"/>
            <w:szCs w:val="16"/>
          </w:rPr>
          <w:fldChar w:fldCharType="begin"/>
        </w:r>
        <w:r w:rsidR="00691082" w:rsidRPr="00EB559C">
          <w:rPr>
            <w:rFonts w:ascii="Arial" w:hAnsi="Arial" w:cs="Arial"/>
            <w:i/>
            <w:sz w:val="16"/>
            <w:szCs w:val="16"/>
          </w:rPr>
          <w:instrText xml:space="preserve"> PAGE   \* MERGEFORMAT </w:instrText>
        </w:r>
        <w:r w:rsidR="0017593F" w:rsidRPr="00EB559C">
          <w:rPr>
            <w:rFonts w:ascii="Arial" w:hAnsi="Arial" w:cs="Arial"/>
            <w:i/>
            <w:sz w:val="16"/>
            <w:szCs w:val="16"/>
          </w:rPr>
          <w:fldChar w:fldCharType="separate"/>
        </w:r>
        <w:r>
          <w:rPr>
            <w:rFonts w:ascii="Arial" w:hAnsi="Arial" w:cs="Arial"/>
            <w:i/>
            <w:noProof/>
            <w:sz w:val="16"/>
            <w:szCs w:val="16"/>
          </w:rPr>
          <w:t>2</w:t>
        </w:r>
        <w:r w:rsidR="0017593F" w:rsidRPr="00EB559C">
          <w:rPr>
            <w:rFonts w:ascii="Arial" w:hAnsi="Arial" w:cs="Arial"/>
            <w:i/>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082" w:rsidRDefault="00691082" w:rsidP="009D7B00">
      <w:r>
        <w:separator/>
      </w:r>
    </w:p>
  </w:footnote>
  <w:footnote w:type="continuationSeparator" w:id="0">
    <w:p w:rsidR="00691082" w:rsidRDefault="00691082" w:rsidP="009D7B00">
      <w:r>
        <w:continuationSeparator/>
      </w:r>
    </w:p>
  </w:footnote>
  <w:footnote w:id="1">
    <w:p w:rsidR="00691082" w:rsidRPr="00E373BB" w:rsidRDefault="00691082" w:rsidP="009D7B00">
      <w:pPr>
        <w:pStyle w:val="FootnoteText"/>
        <w:rPr>
          <w:rFonts w:ascii="Arial" w:hAnsi="Arial" w:cs="Arial"/>
          <w:sz w:val="16"/>
          <w:szCs w:val="16"/>
        </w:rPr>
      </w:pPr>
      <w:r w:rsidRPr="00E373BB">
        <w:rPr>
          <w:rStyle w:val="FootnoteReference"/>
          <w:rFonts w:ascii="Arial" w:hAnsi="Arial" w:cs="Arial"/>
          <w:sz w:val="16"/>
          <w:szCs w:val="16"/>
        </w:rPr>
        <w:footnoteRef/>
      </w:r>
      <w:r w:rsidRPr="00E373BB">
        <w:rPr>
          <w:rFonts w:ascii="Arial" w:hAnsi="Arial" w:cs="Arial"/>
          <w:sz w:val="16"/>
          <w:szCs w:val="16"/>
        </w:rPr>
        <w:t xml:space="preserve"> This is consistent with the common direction provided by the New Zealand Curriculum and </w:t>
      </w:r>
      <w:r w:rsidRPr="005A1B57">
        <w:rPr>
          <w:rFonts w:ascii="Arial" w:hAnsi="Arial" w:cs="Arial"/>
          <w:sz w:val="16"/>
          <w:szCs w:val="16"/>
        </w:rPr>
        <w:t>Te Marautanga o Aotearoa.</w:t>
      </w:r>
    </w:p>
  </w:footnote>
  <w:footnote w:id="2">
    <w:p w:rsidR="00691082" w:rsidRDefault="00691082">
      <w:pPr>
        <w:pStyle w:val="FootnoteText"/>
      </w:pPr>
      <w:r>
        <w:rPr>
          <w:rStyle w:val="FootnoteReference"/>
        </w:rPr>
        <w:footnoteRef/>
      </w:r>
      <w:r>
        <w:t xml:space="preserve"> </w:t>
      </w:r>
      <w:r w:rsidRPr="001C7B5D">
        <w:rPr>
          <w:rFonts w:ascii="Arial" w:hAnsi="Arial" w:cs="Arial"/>
          <w:sz w:val="16"/>
          <w:szCs w:val="16"/>
        </w:rPr>
        <w:t xml:space="preserve">The work undertaken by </w:t>
      </w:r>
      <w:proofErr w:type="spellStart"/>
      <w:r w:rsidRPr="001C7B5D">
        <w:rPr>
          <w:rFonts w:ascii="Arial" w:hAnsi="Arial" w:cs="Arial"/>
          <w:sz w:val="16"/>
          <w:szCs w:val="16"/>
        </w:rPr>
        <w:t>Sapere</w:t>
      </w:r>
      <w:proofErr w:type="spellEnd"/>
      <w:r w:rsidRPr="001C7B5D">
        <w:rPr>
          <w:rFonts w:ascii="Arial" w:hAnsi="Arial" w:cs="Arial"/>
          <w:sz w:val="16"/>
          <w:szCs w:val="16"/>
        </w:rPr>
        <w:t xml:space="preserve"> Research Group explored in a preliminary way the application of these types of techniques to the New Zealand context</w:t>
      </w:r>
      <w:r>
        <w:rPr>
          <w:rFonts w:ascii="Arial" w:hAnsi="Arial" w:cs="Arial"/>
          <w:sz w:val="16"/>
          <w:szCs w:val="16"/>
        </w:rPr>
        <w:t>.</w:t>
      </w:r>
    </w:p>
  </w:footnote>
  <w:footnote w:id="3">
    <w:p w:rsidR="00691082" w:rsidRPr="006074D5" w:rsidRDefault="00691082" w:rsidP="009D7B00">
      <w:pPr>
        <w:pStyle w:val="FootnoteText"/>
        <w:rPr>
          <w:rFonts w:ascii="Arial" w:hAnsi="Arial" w:cs="Arial"/>
          <w:sz w:val="16"/>
          <w:szCs w:val="16"/>
        </w:rPr>
      </w:pPr>
      <w:r w:rsidRPr="006074D5">
        <w:rPr>
          <w:rStyle w:val="FootnoteReference"/>
          <w:rFonts w:ascii="Arial" w:hAnsi="Arial" w:cs="Arial"/>
          <w:sz w:val="16"/>
          <w:szCs w:val="16"/>
        </w:rPr>
        <w:footnoteRef/>
      </w:r>
      <w:r w:rsidRPr="006074D5">
        <w:rPr>
          <w:rFonts w:ascii="Arial" w:hAnsi="Arial" w:cs="Arial"/>
          <w:sz w:val="16"/>
          <w:szCs w:val="16"/>
        </w:rPr>
        <w:t xml:space="preserve"> Operational grant funding and teacher salary costs.</w:t>
      </w:r>
    </w:p>
  </w:footnote>
  <w:footnote w:id="4">
    <w:p w:rsidR="00691082" w:rsidRPr="008F7E7B" w:rsidRDefault="00691082" w:rsidP="009D7B00">
      <w:pPr>
        <w:pStyle w:val="FootnoteText"/>
        <w:rPr>
          <w:rFonts w:ascii="Arial" w:hAnsi="Arial" w:cs="Arial"/>
          <w:sz w:val="16"/>
          <w:szCs w:val="16"/>
        </w:rPr>
      </w:pPr>
      <w:r w:rsidRPr="008F7E7B">
        <w:rPr>
          <w:rStyle w:val="FootnoteReference"/>
          <w:rFonts w:ascii="Arial" w:hAnsi="Arial" w:cs="Arial"/>
          <w:sz w:val="16"/>
          <w:szCs w:val="16"/>
        </w:rPr>
        <w:footnoteRef/>
      </w:r>
      <w:r w:rsidRPr="008F7E7B">
        <w:rPr>
          <w:rFonts w:ascii="Arial" w:hAnsi="Arial" w:cs="Arial"/>
          <w:sz w:val="16"/>
          <w:szCs w:val="16"/>
        </w:rPr>
        <w:t xml:space="preserve"> </w:t>
      </w:r>
      <w:hyperlink r:id="rId1" w:history="1">
        <w:r w:rsidRPr="003D0099">
          <w:rPr>
            <w:rStyle w:val="Hyperlink"/>
            <w:rFonts w:ascii="Arial" w:hAnsi="Arial" w:cs="Arial"/>
            <w:sz w:val="16"/>
            <w:szCs w:val="16"/>
          </w:rPr>
          <w:t>http://www.educationcounts.govt.nz/statistics/schooling/resourcing/per-student-funding</w:t>
        </w:r>
      </w:hyperlink>
      <w:r w:rsidRPr="003D0099">
        <w:rPr>
          <w:rFonts w:ascii="Arial" w:hAnsi="Arial" w:cs="Arial"/>
          <w:sz w:val="16"/>
          <w:szCs w:val="16"/>
        </w:rPr>
        <w:t>. Values are average per-student expenditure on operational grant funding</w:t>
      </w:r>
      <w:r>
        <w:rPr>
          <w:rFonts w:ascii="Arial" w:hAnsi="Arial" w:cs="Arial"/>
          <w:sz w:val="16"/>
          <w:szCs w:val="16"/>
        </w:rPr>
        <w:t xml:space="preserve"> (core funding components only – this includes property maintenance funding) and teacher salaries. </w:t>
      </w:r>
      <w:r w:rsidRPr="008F7E7B">
        <w:rPr>
          <w:rFonts w:ascii="Arial" w:hAnsi="Arial" w:cs="Arial"/>
          <w:color w:val="000000"/>
          <w:sz w:val="16"/>
          <w:szCs w:val="16"/>
        </w:rPr>
        <w:t xml:space="preserve">This indicator is calculated for state and state integrated schools only. </w:t>
      </w:r>
      <w:r w:rsidRPr="008F7E7B">
        <w:rPr>
          <w:rFonts w:ascii="Arial" w:hAnsi="Arial" w:cs="Arial"/>
          <w:sz w:val="16"/>
          <w:szCs w:val="16"/>
        </w:rPr>
        <w:t xml:space="preserve"> </w:t>
      </w:r>
    </w:p>
  </w:footnote>
  <w:footnote w:id="5">
    <w:p w:rsidR="00691082" w:rsidRPr="008F7E7B" w:rsidRDefault="00691082" w:rsidP="009D7B00">
      <w:pPr>
        <w:pStyle w:val="FootnoteText"/>
        <w:rPr>
          <w:rFonts w:ascii="Arial" w:hAnsi="Arial" w:cs="Arial"/>
          <w:sz w:val="16"/>
          <w:szCs w:val="16"/>
        </w:rPr>
      </w:pPr>
      <w:r w:rsidRPr="008F7E7B">
        <w:rPr>
          <w:rStyle w:val="FootnoteReference"/>
          <w:rFonts w:ascii="Arial" w:hAnsi="Arial" w:cs="Arial"/>
          <w:sz w:val="16"/>
          <w:szCs w:val="16"/>
        </w:rPr>
        <w:footnoteRef/>
      </w:r>
      <w:r w:rsidRPr="008F7E7B">
        <w:rPr>
          <w:rFonts w:ascii="Arial" w:hAnsi="Arial" w:cs="Arial"/>
          <w:sz w:val="16"/>
          <w:szCs w:val="16"/>
        </w:rPr>
        <w:t xml:space="preserve"> Including technology staffing at Years 7 and 8.</w:t>
      </w:r>
    </w:p>
  </w:footnote>
  <w:footnote w:id="6">
    <w:p w:rsidR="00691082" w:rsidRDefault="00691082" w:rsidP="009D7B00">
      <w:pPr>
        <w:pStyle w:val="FootnoteText"/>
        <w:jc w:val="both"/>
      </w:pPr>
      <w:r>
        <w:rPr>
          <w:rStyle w:val="FootnoteReference"/>
        </w:rPr>
        <w:footnoteRef/>
      </w:r>
      <w:r>
        <w:t xml:space="preserve"> </w:t>
      </w:r>
      <w:r w:rsidRPr="002A1521">
        <w:rPr>
          <w:rFonts w:ascii="Arial" w:hAnsi="Arial" w:cs="Arial"/>
          <w:sz w:val="16"/>
          <w:szCs w:val="16"/>
        </w:rPr>
        <w:t>Project STAR in Tennessee and SAGE in Wisconsin involved reducing kindergarten to grade 3 class sizes of 13-17 students.  Follow up studies on STAR have also been carried out</w:t>
      </w:r>
      <w:r>
        <w:rPr>
          <w:rFonts w:ascii="Arial" w:hAnsi="Arial" w:cs="Arial"/>
          <w:sz w:val="16"/>
          <w:szCs w:val="16"/>
        </w:rPr>
        <w:t xml:space="preserve"> which showed that the benefits were sustained</w:t>
      </w:r>
      <w:r w:rsidRPr="002A1521">
        <w:rPr>
          <w:rFonts w:ascii="Arial" w:hAnsi="Arial" w:cs="Arial"/>
          <w:sz w:val="16"/>
          <w:szCs w:val="16"/>
        </w:rPr>
        <w:t>.</w:t>
      </w:r>
    </w:p>
  </w:footnote>
  <w:footnote w:id="7">
    <w:p w:rsidR="00691082" w:rsidRDefault="00691082" w:rsidP="009D7B00">
      <w:pPr>
        <w:pStyle w:val="FootnoteText"/>
      </w:pPr>
      <w:r>
        <w:rPr>
          <w:rStyle w:val="FootnoteReference"/>
        </w:rPr>
        <w:footnoteRef/>
      </w:r>
      <w:r>
        <w:t xml:space="preserve"> </w:t>
      </w:r>
      <w:r w:rsidRPr="00F6364F">
        <w:rPr>
          <w:rFonts w:ascii="Arial" w:hAnsi="Arial" w:cs="Arial"/>
          <w:sz w:val="16"/>
          <w:szCs w:val="16"/>
        </w:rPr>
        <w:t>There are, however, some parallels to the situation of English as a Second Language students.  Specific additional funding is provided to support these students.</w:t>
      </w:r>
    </w:p>
  </w:footnote>
  <w:footnote w:id="8">
    <w:p w:rsidR="00691082" w:rsidRPr="008D40B0" w:rsidRDefault="00691082" w:rsidP="009D7B00">
      <w:pPr>
        <w:pStyle w:val="FootnoteText"/>
        <w:rPr>
          <w:rFonts w:ascii="Arial" w:hAnsi="Arial" w:cs="Arial"/>
          <w:sz w:val="16"/>
          <w:szCs w:val="16"/>
        </w:rPr>
      </w:pPr>
      <w:r>
        <w:rPr>
          <w:rStyle w:val="FootnoteReference"/>
        </w:rPr>
        <w:footnoteRef/>
      </w:r>
      <w:r>
        <w:t xml:space="preserve"> </w:t>
      </w:r>
      <w:r w:rsidRPr="008D40B0">
        <w:rPr>
          <w:rFonts w:ascii="Arial" w:hAnsi="Arial" w:cs="Arial"/>
          <w:sz w:val="16"/>
          <w:szCs w:val="16"/>
        </w:rPr>
        <w:t>Department of Education and Early childhood Development, The School Global Budget and Student Resource Package in Victoria, Twenty Years of Innovation and Refinement, October 2013.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B68" w:rsidRPr="00D33614" w:rsidRDefault="00D33614" w:rsidP="00D33614">
    <w:pPr>
      <w:pStyle w:val="Header"/>
      <w:rPr>
        <w:sz w:val="18"/>
        <w:szCs w:val="18"/>
      </w:rPr>
    </w:pPr>
    <w:r w:rsidRPr="00D33614">
      <w:rPr>
        <w:b/>
        <w:sz w:val="18"/>
        <w:szCs w:val="18"/>
      </w:rPr>
      <w:t xml:space="preserve">FOR ADVISORY GROUP </w:t>
    </w:r>
    <w:r w:rsidR="00912726">
      <w:rPr>
        <w:b/>
        <w:sz w:val="18"/>
        <w:szCs w:val="18"/>
      </w:rPr>
      <w:t>USE ONLY</w:t>
    </w:r>
    <w:r w:rsidRPr="00D33614">
      <w:rPr>
        <w:b/>
        <w:sz w:val="18"/>
        <w:szCs w:val="18"/>
      </w:rPr>
      <w:t xml:space="preserve">                                                               DRAFT – NOT GOVERNMENT POLICY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116EFEC"/>
    <w:lvl w:ilvl="0">
      <w:start w:val="1"/>
      <w:numFmt w:val="decimal"/>
      <w:pStyle w:val="ListNumber"/>
      <w:lvlText w:val="%1."/>
      <w:lvlJc w:val="left"/>
      <w:pPr>
        <w:tabs>
          <w:tab w:val="num" w:pos="360"/>
        </w:tabs>
        <w:ind w:left="360" w:hanging="360"/>
      </w:pPr>
    </w:lvl>
  </w:abstractNum>
  <w:abstractNum w:abstractNumId="1">
    <w:nsid w:val="0128781D"/>
    <w:multiLevelType w:val="hybridMultilevel"/>
    <w:tmpl w:val="98C06C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4626EA"/>
    <w:multiLevelType w:val="hybridMultilevel"/>
    <w:tmpl w:val="3CF61F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C75C06"/>
    <w:multiLevelType w:val="hybridMultilevel"/>
    <w:tmpl w:val="57D611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E321DCF"/>
    <w:multiLevelType w:val="hybridMultilevel"/>
    <w:tmpl w:val="B0E4CD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13F1B03"/>
    <w:multiLevelType w:val="hybridMultilevel"/>
    <w:tmpl w:val="144E4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9D7B00"/>
    <w:rsid w:val="0000267B"/>
    <w:rsid w:val="000907F4"/>
    <w:rsid w:val="000C7267"/>
    <w:rsid w:val="000E1659"/>
    <w:rsid w:val="000F6151"/>
    <w:rsid w:val="00104AC9"/>
    <w:rsid w:val="00122949"/>
    <w:rsid w:val="001321B1"/>
    <w:rsid w:val="00134B94"/>
    <w:rsid w:val="00144E1A"/>
    <w:rsid w:val="0017593F"/>
    <w:rsid w:val="00194A51"/>
    <w:rsid w:val="001B564C"/>
    <w:rsid w:val="001C1833"/>
    <w:rsid w:val="001C7B5D"/>
    <w:rsid w:val="001E3FB7"/>
    <w:rsid w:val="00235242"/>
    <w:rsid w:val="00266885"/>
    <w:rsid w:val="002D231E"/>
    <w:rsid w:val="002E067B"/>
    <w:rsid w:val="002F0874"/>
    <w:rsid w:val="0034271D"/>
    <w:rsid w:val="00344209"/>
    <w:rsid w:val="003823EF"/>
    <w:rsid w:val="00392550"/>
    <w:rsid w:val="003C1E8B"/>
    <w:rsid w:val="004334FD"/>
    <w:rsid w:val="004572AF"/>
    <w:rsid w:val="004735AA"/>
    <w:rsid w:val="00477D9A"/>
    <w:rsid w:val="00481022"/>
    <w:rsid w:val="004E631C"/>
    <w:rsid w:val="005207E6"/>
    <w:rsid w:val="005322DB"/>
    <w:rsid w:val="00532F22"/>
    <w:rsid w:val="005B67BE"/>
    <w:rsid w:val="005E1580"/>
    <w:rsid w:val="005F62F8"/>
    <w:rsid w:val="006074D5"/>
    <w:rsid w:val="00691082"/>
    <w:rsid w:val="00693ABC"/>
    <w:rsid w:val="006A0311"/>
    <w:rsid w:val="006C6C9C"/>
    <w:rsid w:val="00702FE2"/>
    <w:rsid w:val="00787009"/>
    <w:rsid w:val="00793A22"/>
    <w:rsid w:val="007A7B02"/>
    <w:rsid w:val="007B3A32"/>
    <w:rsid w:val="007E3B68"/>
    <w:rsid w:val="00837278"/>
    <w:rsid w:val="00861E1F"/>
    <w:rsid w:val="00890FFE"/>
    <w:rsid w:val="008D40B0"/>
    <w:rsid w:val="008D4580"/>
    <w:rsid w:val="008E1CEC"/>
    <w:rsid w:val="008F3199"/>
    <w:rsid w:val="0090613B"/>
    <w:rsid w:val="00912559"/>
    <w:rsid w:val="00912726"/>
    <w:rsid w:val="00951758"/>
    <w:rsid w:val="0098440C"/>
    <w:rsid w:val="00985410"/>
    <w:rsid w:val="009C3B5C"/>
    <w:rsid w:val="009C6949"/>
    <w:rsid w:val="009D7B00"/>
    <w:rsid w:val="00A15347"/>
    <w:rsid w:val="00A42349"/>
    <w:rsid w:val="00A44876"/>
    <w:rsid w:val="00A806FC"/>
    <w:rsid w:val="00AA642C"/>
    <w:rsid w:val="00B124F8"/>
    <w:rsid w:val="00B276AA"/>
    <w:rsid w:val="00B42D8A"/>
    <w:rsid w:val="00BA0C32"/>
    <w:rsid w:val="00BA3544"/>
    <w:rsid w:val="00C47A77"/>
    <w:rsid w:val="00C80333"/>
    <w:rsid w:val="00C85B25"/>
    <w:rsid w:val="00C925A9"/>
    <w:rsid w:val="00CD3070"/>
    <w:rsid w:val="00CE3B9E"/>
    <w:rsid w:val="00D30EE2"/>
    <w:rsid w:val="00D33614"/>
    <w:rsid w:val="00D53942"/>
    <w:rsid w:val="00DE6194"/>
    <w:rsid w:val="00DF7F3C"/>
    <w:rsid w:val="00E121A9"/>
    <w:rsid w:val="00E24B85"/>
    <w:rsid w:val="00EB559C"/>
    <w:rsid w:val="00EC3D97"/>
    <w:rsid w:val="00F422EA"/>
    <w:rsid w:val="00F47EEE"/>
    <w:rsid w:val="00F825A5"/>
    <w:rsid w:val="00FB4F05"/>
    <w:rsid w:val="00FE56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B00"/>
    <w:pPr>
      <w:spacing w:after="0" w:line="240" w:lineRule="auto"/>
    </w:pPr>
    <w:rPr>
      <w:rFonts w:ascii="Tahoma" w:eastAsia="Times New Roman" w:hAnsi="Tahoma" w:cs="Times New Roman"/>
      <w:sz w:val="24"/>
      <w:szCs w:val="24"/>
      <w:lang w:val="en-AU"/>
    </w:rPr>
  </w:style>
  <w:style w:type="paragraph" w:styleId="Heading1">
    <w:name w:val="heading 1"/>
    <w:basedOn w:val="Normal"/>
    <w:next w:val="Normal"/>
    <w:link w:val="Heading1Char"/>
    <w:uiPriority w:val="9"/>
    <w:qFormat/>
    <w:rsid w:val="00EB559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link w:val="Heading3Char"/>
    <w:uiPriority w:val="9"/>
    <w:semiHidden/>
    <w:unhideWhenUsed/>
    <w:qFormat/>
    <w:rsid w:val="009D7B00"/>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D7B00"/>
    <w:rPr>
      <w:color w:val="0000FF"/>
      <w:u w:val="single"/>
    </w:rPr>
  </w:style>
  <w:style w:type="paragraph" w:customStyle="1" w:styleId="MoECoverPageSubheading">
    <w:name w:val="MoE: Cover Page Subheading"/>
    <w:basedOn w:val="Normal"/>
    <w:link w:val="MoECoverPageSubheadingChar"/>
    <w:qFormat/>
    <w:rsid w:val="009D7B00"/>
    <w:pPr>
      <w:spacing w:after="160" w:line="259" w:lineRule="auto"/>
    </w:pPr>
    <w:rPr>
      <w:rFonts w:ascii="Arial" w:eastAsiaTheme="minorHAnsi" w:hAnsi="Arial" w:cs="Arial"/>
      <w:color w:val="3F92CF"/>
      <w:sz w:val="28"/>
      <w:szCs w:val="28"/>
      <w:lang w:val="en-NZ"/>
    </w:rPr>
  </w:style>
  <w:style w:type="character" w:customStyle="1" w:styleId="MoECoverPageSubheadingChar">
    <w:name w:val="MoE: Cover Page Subheading Char"/>
    <w:basedOn w:val="DefaultParagraphFont"/>
    <w:link w:val="MoECoverPageSubheading"/>
    <w:rsid w:val="009D7B00"/>
    <w:rPr>
      <w:rFonts w:ascii="Arial" w:hAnsi="Arial" w:cs="Arial"/>
      <w:color w:val="3F92CF"/>
      <w:sz w:val="28"/>
      <w:szCs w:val="28"/>
    </w:rPr>
  </w:style>
  <w:style w:type="paragraph" w:customStyle="1" w:styleId="MoEBodyText">
    <w:name w:val="MoE: Body Text"/>
    <w:basedOn w:val="Normal"/>
    <w:link w:val="MoEBodyTextChar"/>
    <w:qFormat/>
    <w:rsid w:val="009D7B00"/>
    <w:pPr>
      <w:spacing w:after="240" w:line="240" w:lineRule="atLeast"/>
    </w:pPr>
    <w:rPr>
      <w:rFonts w:ascii="Arial" w:eastAsiaTheme="minorHAnsi" w:hAnsi="Arial" w:cstheme="minorBidi"/>
      <w:sz w:val="20"/>
      <w:szCs w:val="20"/>
      <w:lang w:val="en-NZ"/>
    </w:rPr>
  </w:style>
  <w:style w:type="paragraph" w:customStyle="1" w:styleId="MoEHeading3">
    <w:name w:val="MoE: Heading 3"/>
    <w:basedOn w:val="Heading3"/>
    <w:next w:val="MoEBodyText"/>
    <w:link w:val="MoEHeading3Char"/>
    <w:qFormat/>
    <w:rsid w:val="009D7B00"/>
    <w:pPr>
      <w:spacing w:after="120" w:line="240" w:lineRule="atLeast"/>
    </w:pPr>
    <w:rPr>
      <w:rFonts w:ascii="Arial" w:hAnsi="Arial"/>
      <w:bCs w:val="0"/>
      <w:color w:val="3F92CF"/>
      <w:sz w:val="20"/>
      <w:lang w:val="en-NZ"/>
    </w:rPr>
  </w:style>
  <w:style w:type="character" w:customStyle="1" w:styleId="MoEBodyTextChar">
    <w:name w:val="MoE: Body Text Char"/>
    <w:basedOn w:val="DefaultParagraphFont"/>
    <w:link w:val="MoEBodyText"/>
    <w:rsid w:val="009D7B00"/>
    <w:rPr>
      <w:rFonts w:ascii="Arial" w:hAnsi="Arial"/>
      <w:sz w:val="20"/>
      <w:szCs w:val="20"/>
    </w:rPr>
  </w:style>
  <w:style w:type="character" w:customStyle="1" w:styleId="MoEHeading3Char">
    <w:name w:val="MoE: Heading 3 Char"/>
    <w:basedOn w:val="DefaultParagraphFont"/>
    <w:link w:val="MoEHeading3"/>
    <w:rsid w:val="009D7B00"/>
    <w:rPr>
      <w:rFonts w:ascii="Arial" w:eastAsiaTheme="majorEastAsia" w:hAnsi="Arial" w:cstheme="majorBidi"/>
      <w:b/>
      <w:color w:val="3F92CF"/>
      <w:sz w:val="20"/>
      <w:szCs w:val="24"/>
    </w:rPr>
  </w:style>
  <w:style w:type="paragraph" w:styleId="FootnoteText">
    <w:name w:val="footnote text"/>
    <w:basedOn w:val="Normal"/>
    <w:link w:val="FootnoteTextChar"/>
    <w:uiPriority w:val="99"/>
    <w:rsid w:val="009D7B00"/>
    <w:rPr>
      <w:rFonts w:asciiTheme="minorHAnsi" w:eastAsiaTheme="minorHAnsi" w:hAnsiTheme="minorHAnsi" w:cstheme="minorBidi"/>
      <w:sz w:val="20"/>
      <w:szCs w:val="20"/>
      <w:lang w:val="en-NZ"/>
    </w:rPr>
  </w:style>
  <w:style w:type="character" w:customStyle="1" w:styleId="FootnoteTextChar">
    <w:name w:val="Footnote Text Char"/>
    <w:basedOn w:val="DefaultParagraphFont"/>
    <w:link w:val="FootnoteText"/>
    <w:uiPriority w:val="99"/>
    <w:rsid w:val="009D7B00"/>
    <w:rPr>
      <w:sz w:val="20"/>
      <w:szCs w:val="20"/>
    </w:rPr>
  </w:style>
  <w:style w:type="character" w:styleId="FootnoteReference">
    <w:name w:val="footnote reference"/>
    <w:basedOn w:val="DefaultParagraphFont"/>
    <w:uiPriority w:val="99"/>
    <w:rsid w:val="009D7B00"/>
    <w:rPr>
      <w:vertAlign w:val="superscript"/>
    </w:rPr>
  </w:style>
  <w:style w:type="paragraph" w:styleId="ListParagraph">
    <w:name w:val="List Paragraph"/>
    <w:aliases w:val="List Paragraph numbered,List Bullet indent,List Paragraph1,Bullet List,FooterText,numbered,Paragraphe de liste1,Bulletr List Paragraph,列出段落,列出段落1,Listeafsnit1,Parágrafo da Lista1,List Paragraph2,List Paragraph21,Párrafo de lista1,リスト段落1"/>
    <w:basedOn w:val="Normal"/>
    <w:link w:val="ListParagraphChar"/>
    <w:uiPriority w:val="34"/>
    <w:qFormat/>
    <w:rsid w:val="009D7B00"/>
    <w:pPr>
      <w:ind w:left="720"/>
    </w:pPr>
    <w:rPr>
      <w:rFonts w:ascii="Calibri" w:hAnsi="Calibri"/>
      <w:sz w:val="22"/>
      <w:szCs w:val="22"/>
      <w:lang w:val="en-NZ"/>
    </w:rPr>
  </w:style>
  <w:style w:type="character" w:customStyle="1" w:styleId="ListParagraphChar">
    <w:name w:val="List Paragraph Char"/>
    <w:aliases w:val="List Paragraph numbered Char,List Bullet indent Char,List Paragraph1 Char,Bullet List Char,FooterText Char,numbered Char,Paragraphe de liste1 Char,Bulletr List Paragraph Char,列出段落 Char,列出段落1 Char,Listeafsnit1 Char,リスト段落1 Char"/>
    <w:basedOn w:val="DefaultParagraphFont"/>
    <w:link w:val="ListParagraph"/>
    <w:uiPriority w:val="34"/>
    <w:locked/>
    <w:rsid w:val="009D7B00"/>
    <w:rPr>
      <w:rFonts w:ascii="Calibri" w:eastAsia="Times New Roman" w:hAnsi="Calibri" w:cs="Times New Roman"/>
    </w:rPr>
  </w:style>
  <w:style w:type="character" w:customStyle="1" w:styleId="Heading3Char">
    <w:name w:val="Heading 3 Char"/>
    <w:basedOn w:val="DefaultParagraphFont"/>
    <w:link w:val="Heading3"/>
    <w:uiPriority w:val="9"/>
    <w:semiHidden/>
    <w:rsid w:val="009D7B00"/>
    <w:rPr>
      <w:rFonts w:asciiTheme="majorHAnsi" w:eastAsiaTheme="majorEastAsia" w:hAnsiTheme="majorHAnsi" w:cstheme="majorBidi"/>
      <w:b/>
      <w:bCs/>
      <w:color w:val="5B9BD5" w:themeColor="accent1"/>
      <w:sz w:val="24"/>
      <w:szCs w:val="24"/>
      <w:lang w:val="en-AU"/>
    </w:rPr>
  </w:style>
  <w:style w:type="paragraph" w:styleId="BalloonText">
    <w:name w:val="Balloon Text"/>
    <w:basedOn w:val="Normal"/>
    <w:link w:val="BalloonTextChar"/>
    <w:uiPriority w:val="99"/>
    <w:semiHidden/>
    <w:unhideWhenUsed/>
    <w:rsid w:val="009D7B00"/>
    <w:rPr>
      <w:rFonts w:cs="Tahoma"/>
      <w:sz w:val="16"/>
      <w:szCs w:val="16"/>
    </w:rPr>
  </w:style>
  <w:style w:type="character" w:customStyle="1" w:styleId="BalloonTextChar">
    <w:name w:val="Balloon Text Char"/>
    <w:basedOn w:val="DefaultParagraphFont"/>
    <w:link w:val="BalloonText"/>
    <w:uiPriority w:val="99"/>
    <w:semiHidden/>
    <w:rsid w:val="009D7B00"/>
    <w:rPr>
      <w:rFonts w:ascii="Tahoma" w:eastAsia="Times New Roman" w:hAnsi="Tahoma" w:cs="Tahoma"/>
      <w:sz w:val="16"/>
      <w:szCs w:val="16"/>
      <w:lang w:val="en-AU"/>
    </w:rPr>
  </w:style>
  <w:style w:type="paragraph" w:styleId="Header">
    <w:name w:val="header"/>
    <w:basedOn w:val="Normal"/>
    <w:link w:val="HeaderChar"/>
    <w:uiPriority w:val="99"/>
    <w:unhideWhenUsed/>
    <w:rsid w:val="008D4580"/>
    <w:pPr>
      <w:tabs>
        <w:tab w:val="center" w:pos="4513"/>
        <w:tab w:val="right" w:pos="9026"/>
      </w:tabs>
    </w:pPr>
  </w:style>
  <w:style w:type="character" w:customStyle="1" w:styleId="HeaderChar">
    <w:name w:val="Header Char"/>
    <w:basedOn w:val="DefaultParagraphFont"/>
    <w:link w:val="Header"/>
    <w:uiPriority w:val="99"/>
    <w:rsid w:val="008D4580"/>
    <w:rPr>
      <w:rFonts w:ascii="Tahoma" w:eastAsia="Times New Roman" w:hAnsi="Tahoma" w:cs="Times New Roman"/>
      <w:sz w:val="24"/>
      <w:szCs w:val="24"/>
      <w:lang w:val="en-AU"/>
    </w:rPr>
  </w:style>
  <w:style w:type="paragraph" w:styleId="Footer">
    <w:name w:val="footer"/>
    <w:basedOn w:val="Normal"/>
    <w:link w:val="FooterChar"/>
    <w:uiPriority w:val="99"/>
    <w:unhideWhenUsed/>
    <w:rsid w:val="008D4580"/>
    <w:pPr>
      <w:tabs>
        <w:tab w:val="center" w:pos="4513"/>
        <w:tab w:val="right" w:pos="9026"/>
      </w:tabs>
    </w:pPr>
  </w:style>
  <w:style w:type="character" w:customStyle="1" w:styleId="FooterChar">
    <w:name w:val="Footer Char"/>
    <w:basedOn w:val="DefaultParagraphFont"/>
    <w:link w:val="Footer"/>
    <w:uiPriority w:val="99"/>
    <w:rsid w:val="008D4580"/>
    <w:rPr>
      <w:rFonts w:ascii="Tahoma" w:eastAsia="Times New Roman" w:hAnsi="Tahoma" w:cs="Times New Roman"/>
      <w:sz w:val="24"/>
      <w:szCs w:val="24"/>
      <w:lang w:val="en-AU"/>
    </w:rPr>
  </w:style>
  <w:style w:type="paragraph" w:styleId="ListNumber">
    <w:name w:val="List Number"/>
    <w:basedOn w:val="Normal"/>
    <w:uiPriority w:val="99"/>
    <w:semiHidden/>
    <w:unhideWhenUsed/>
    <w:rsid w:val="006A0311"/>
    <w:pPr>
      <w:numPr>
        <w:numId w:val="5"/>
      </w:numPr>
      <w:contextualSpacing/>
    </w:pPr>
  </w:style>
  <w:style w:type="character" w:customStyle="1" w:styleId="Heading1Char">
    <w:name w:val="Heading 1 Char"/>
    <w:basedOn w:val="DefaultParagraphFont"/>
    <w:link w:val="Heading1"/>
    <w:uiPriority w:val="9"/>
    <w:rsid w:val="00EB559C"/>
    <w:rPr>
      <w:rFonts w:asciiTheme="majorHAnsi" w:eastAsiaTheme="majorEastAsia" w:hAnsiTheme="majorHAnsi" w:cstheme="majorBidi"/>
      <w:b/>
      <w:bCs/>
      <w:color w:val="2E74B5" w:themeColor="accent1" w:themeShade="BF"/>
      <w:sz w:val="28"/>
      <w:szCs w:val="28"/>
      <w:lang w:val="en-AU"/>
    </w:rPr>
  </w:style>
  <w:style w:type="paragraph" w:styleId="BodyText">
    <w:name w:val="Body Text"/>
    <w:basedOn w:val="Normal"/>
    <w:link w:val="BodyTextChar"/>
    <w:rsid w:val="00EB559C"/>
    <w:pPr>
      <w:spacing w:before="60" w:after="220" w:line="280" w:lineRule="exact"/>
    </w:pPr>
    <w:rPr>
      <w:rFonts w:ascii="Arial" w:hAnsi="Arial"/>
      <w:szCs w:val="20"/>
      <w:lang w:val="en-NZ"/>
    </w:rPr>
  </w:style>
  <w:style w:type="character" w:customStyle="1" w:styleId="BodyTextChar">
    <w:name w:val="Body Text Char"/>
    <w:basedOn w:val="DefaultParagraphFont"/>
    <w:link w:val="BodyText"/>
    <w:rsid w:val="00EB559C"/>
    <w:rPr>
      <w:rFonts w:ascii="Arial" w:eastAsia="Times New Roman" w:hAnsi="Arial" w:cs="Times New Roman"/>
      <w:sz w:val="24"/>
      <w:szCs w:val="20"/>
    </w:rPr>
  </w:style>
  <w:style w:type="paragraph" w:styleId="NoSpacing">
    <w:name w:val="No Spacing"/>
    <w:uiPriority w:val="1"/>
    <w:qFormat/>
    <w:rsid w:val="00EB559C"/>
    <w:pPr>
      <w:spacing w:after="0" w:line="240" w:lineRule="auto"/>
    </w:pPr>
    <w:rPr>
      <w:rFonts w:ascii="Tahoma" w:eastAsia="Times New Roman" w:hAnsi="Tahoma" w:cs="Times New Roman"/>
      <w:sz w:val="24"/>
      <w:szCs w:val="24"/>
      <w:lang w:val="en-AU"/>
    </w:rPr>
  </w:style>
</w:styles>
</file>

<file path=word/webSettings.xml><?xml version="1.0" encoding="utf-8"?>
<w:webSettings xmlns:r="http://schemas.openxmlformats.org/officeDocument/2006/relationships" xmlns:w="http://schemas.openxmlformats.org/wordprocessingml/2006/main">
  <w:divs>
    <w:div w:id="41898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ducationcounts.govt.nz/statistics/schooling/resourcing/per-student-fundin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OFIL08\Nesdalep$\Per%20student%20Funding%20year%20level%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OFIL08\Nesdalep$\Per%20student%20Funding%20year%20level%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NZ"/>
  <c:chart>
    <c:plotArea>
      <c:layout/>
      <c:barChart>
        <c:barDir val="col"/>
        <c:grouping val="stacked"/>
        <c:ser>
          <c:idx val="0"/>
          <c:order val="0"/>
          <c:tx>
            <c:strRef>
              <c:f>Sheet1!$A$3</c:f>
              <c:strCache>
                <c:ptCount val="1"/>
                <c:pt idx="0">
                  <c:v>Year Level </c:v>
                </c:pt>
              </c:strCache>
            </c:strRef>
          </c:tx>
          <c:val>
            <c:numRef>
              <c:f>Sheet1!$A$4:$A$16</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val>
        </c:ser>
        <c:ser>
          <c:idx val="1"/>
          <c:order val="1"/>
          <c:tx>
            <c:strRef>
              <c:f>Sheet1!$B$3</c:f>
              <c:strCache>
                <c:ptCount val="1"/>
                <c:pt idx="0">
                  <c:v>$ per student</c:v>
                </c:pt>
              </c:strCache>
            </c:strRef>
          </c:tx>
          <c:val>
            <c:numRef>
              <c:f>Sheet1!$B$4:$B$16</c:f>
              <c:numCache>
                <c:formatCode>General</c:formatCode>
                <c:ptCount val="13"/>
                <c:pt idx="0">
                  <c:v>8000</c:v>
                </c:pt>
                <c:pt idx="1">
                  <c:v>5808</c:v>
                </c:pt>
                <c:pt idx="2">
                  <c:v>5788</c:v>
                </c:pt>
                <c:pt idx="3">
                  <c:v>4925</c:v>
                </c:pt>
                <c:pt idx="4">
                  <c:v>4917</c:v>
                </c:pt>
                <c:pt idx="5">
                  <c:v>4919</c:v>
                </c:pt>
                <c:pt idx="6">
                  <c:v>6023</c:v>
                </c:pt>
                <c:pt idx="7">
                  <c:v>6063</c:v>
                </c:pt>
                <c:pt idx="8">
                  <c:v>6969</c:v>
                </c:pt>
                <c:pt idx="9">
                  <c:v>6966</c:v>
                </c:pt>
                <c:pt idx="10">
                  <c:v>7137</c:v>
                </c:pt>
                <c:pt idx="11">
                  <c:v>8451</c:v>
                </c:pt>
                <c:pt idx="12">
                  <c:v>8923</c:v>
                </c:pt>
              </c:numCache>
            </c:numRef>
          </c:val>
        </c:ser>
        <c:overlap val="100"/>
        <c:axId val="65053824"/>
        <c:axId val="65061248"/>
      </c:barChart>
      <c:catAx>
        <c:axId val="65053824"/>
        <c:scaling>
          <c:orientation val="minMax"/>
        </c:scaling>
        <c:axPos val="b"/>
        <c:tickLblPos val="nextTo"/>
        <c:crossAx val="65061248"/>
        <c:crosses val="autoZero"/>
        <c:auto val="1"/>
        <c:lblAlgn val="ctr"/>
        <c:lblOffset val="100"/>
      </c:catAx>
      <c:valAx>
        <c:axId val="65061248"/>
        <c:scaling>
          <c:orientation val="minMax"/>
        </c:scaling>
        <c:axPos val="l"/>
        <c:majorGridlines/>
        <c:numFmt formatCode="&quot;$&quot;#,##0" sourceLinked="0"/>
        <c:tickLblPos val="nextTo"/>
        <c:crossAx val="650538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NZ"/>
  <c:chart>
    <c:plotArea>
      <c:layout>
        <c:manualLayout>
          <c:layoutTarget val="inner"/>
          <c:xMode val="edge"/>
          <c:yMode val="edge"/>
          <c:x val="0.10677996500437445"/>
          <c:y val="7.4548702245552642E-2"/>
          <c:w val="0.89044225721784753"/>
          <c:h val="0.80947142023913743"/>
        </c:manualLayout>
      </c:layout>
      <c:barChart>
        <c:barDir val="col"/>
        <c:grouping val="stacked"/>
        <c:ser>
          <c:idx val="0"/>
          <c:order val="0"/>
          <c:cat>
            <c:strRef>
              <c:f>Sheet1!$B$37:$B$40</c:f>
              <c:strCache>
                <c:ptCount val="4"/>
                <c:pt idx="0">
                  <c:v>Prep - Year 1</c:v>
                </c:pt>
                <c:pt idx="1">
                  <c:v>Year 2</c:v>
                </c:pt>
                <c:pt idx="2">
                  <c:v>Years 3-6</c:v>
                </c:pt>
                <c:pt idx="3">
                  <c:v>Years 7 -12</c:v>
                </c:pt>
              </c:strCache>
            </c:strRef>
          </c:cat>
          <c:val>
            <c:numRef>
              <c:f>Sheet1!$C$37:$C$40</c:f>
              <c:numCache>
                <c:formatCode>General</c:formatCode>
                <c:ptCount val="4"/>
              </c:numCache>
            </c:numRef>
          </c:val>
        </c:ser>
        <c:ser>
          <c:idx val="1"/>
          <c:order val="1"/>
          <c:cat>
            <c:strRef>
              <c:f>Sheet1!$B$37:$B$40</c:f>
              <c:strCache>
                <c:ptCount val="4"/>
                <c:pt idx="0">
                  <c:v>Prep - Year 1</c:v>
                </c:pt>
                <c:pt idx="1">
                  <c:v>Year 2</c:v>
                </c:pt>
                <c:pt idx="2">
                  <c:v>Years 3-6</c:v>
                </c:pt>
                <c:pt idx="3">
                  <c:v>Years 7 -12</c:v>
                </c:pt>
              </c:strCache>
            </c:strRef>
          </c:cat>
          <c:val>
            <c:numRef>
              <c:f>Sheet1!$D$37:$D$40</c:f>
              <c:numCache>
                <c:formatCode>0.00</c:formatCode>
                <c:ptCount val="4"/>
                <c:pt idx="0">
                  <c:v>1.1749299950584651</c:v>
                </c:pt>
                <c:pt idx="1">
                  <c:v>1.091088782737605</c:v>
                </c:pt>
                <c:pt idx="2">
                  <c:v>1</c:v>
                </c:pt>
                <c:pt idx="3">
                  <c:v>1.3281172788667606</c:v>
                </c:pt>
              </c:numCache>
            </c:numRef>
          </c:val>
        </c:ser>
        <c:overlap val="100"/>
        <c:axId val="116348800"/>
        <c:axId val="116350336"/>
      </c:barChart>
      <c:catAx>
        <c:axId val="116348800"/>
        <c:scaling>
          <c:orientation val="minMax"/>
        </c:scaling>
        <c:axPos val="b"/>
        <c:numFmt formatCode="General" sourceLinked="0"/>
        <c:tickLblPos val="nextTo"/>
        <c:crossAx val="116350336"/>
        <c:crosses val="autoZero"/>
        <c:auto val="1"/>
        <c:lblAlgn val="ctr"/>
        <c:lblOffset val="100"/>
      </c:catAx>
      <c:valAx>
        <c:axId val="116350336"/>
        <c:scaling>
          <c:orientation val="minMax"/>
        </c:scaling>
        <c:axPos val="l"/>
        <c:majorGridlines/>
        <c:title>
          <c:tx>
            <c:rich>
              <a:bodyPr rot="-5400000" vert="horz"/>
              <a:lstStyle/>
              <a:p>
                <a:pPr>
                  <a:defRPr/>
                </a:pPr>
                <a:r>
                  <a:rPr lang="en-US" sz="800">
                    <a:latin typeface="Arial" pitchFamily="34" charset="0"/>
                    <a:cs typeface="Arial" pitchFamily="34" charset="0"/>
                  </a:rPr>
                  <a:t>Compared to expenditure at years 3-6</a:t>
                </a:r>
              </a:p>
            </c:rich>
          </c:tx>
        </c:title>
        <c:numFmt formatCode="General" sourceLinked="1"/>
        <c:tickLblPos val="nextTo"/>
        <c:crossAx val="116348800"/>
        <c:crosses val="autoZero"/>
        <c:crossBetween val="between"/>
      </c:valAx>
    </c:plotArea>
    <c:plotVisOnly val="1"/>
    <c:dispBlanksAs val="gap"/>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C93F1-57D3-4443-911F-1E8BA53E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17026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williamsre</dc:creator>
  <cp:lastModifiedBy>Melissa Idiens</cp:lastModifiedBy>
  <cp:revision>27</cp:revision>
  <cp:lastPrinted>2016-06-08T23:47:00Z</cp:lastPrinted>
  <dcterms:created xsi:type="dcterms:W3CDTF">2016-05-31T22:48:00Z</dcterms:created>
  <dcterms:modified xsi:type="dcterms:W3CDTF">2016-06-24T00:48:00Z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