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B2D" w:rsidRDefault="00F97DA5" w:rsidP="000E0368">
      <w:pPr>
        <w:pStyle w:val="MoECoverPageSubheading"/>
        <w:spacing w:after="0"/>
        <w:rPr>
          <w:b/>
          <w:color w:val="0070C0"/>
          <w:sz w:val="40"/>
        </w:rPr>
      </w:pPr>
      <w:r>
        <w:rPr>
          <w:b/>
          <w:noProof/>
          <w:color w:val="0070C0"/>
          <w:sz w:val="40"/>
          <w:lang w:eastAsia="en-NZ"/>
        </w:rPr>
        <w:pict>
          <v:shapetype id="_x0000_t202" coordsize="21600,21600" o:spt="202" path="m,l,21600r21600,l21600,xe">
            <v:stroke joinstyle="miter"/>
            <v:path gradientshapeok="t" o:connecttype="rect"/>
          </v:shapetype>
          <v:shape id="_x0000_s1027" type="#_x0000_t202" style="position:absolute;margin-left:133.05pt;margin-top:-78.9pt;width:221.2pt;height:38.2pt;z-index:251663360;mso-width-relative:margin;mso-height-relative:margin" strokecolor="white [3212]">
            <v:textbox>
              <w:txbxContent>
                <w:p w:rsidR="00F97DA5" w:rsidRPr="00F97DA5" w:rsidRDefault="00F97DA5" w:rsidP="00F97DA5">
                  <w:pPr>
                    <w:rPr>
                      <w:rFonts w:ascii="Tahoma" w:hAnsi="Tahoma" w:cs="Tahoma"/>
                      <w:sz w:val="24"/>
                      <w:szCs w:val="24"/>
                    </w:rPr>
                  </w:pPr>
                  <w:r w:rsidRPr="00F97DA5">
                    <w:rPr>
                      <w:rFonts w:ascii="Tahoma" w:hAnsi="Tahoma" w:cs="Tahoma"/>
                      <w:b/>
                      <w:sz w:val="24"/>
                      <w:szCs w:val="24"/>
                    </w:rPr>
                    <w:t xml:space="preserve">                                                           FOR ADVISORY GROUP USE ONLY                                                                              </w:t>
                  </w:r>
                </w:p>
                <w:p w:rsidR="00F97DA5" w:rsidRDefault="00F97DA5" w:rsidP="00F97DA5"/>
              </w:txbxContent>
            </v:textbox>
          </v:shape>
        </w:pict>
      </w:r>
      <w:r w:rsidR="00C84B2D">
        <w:rPr>
          <w:b/>
          <w:noProof/>
          <w:color w:val="0070C0"/>
          <w:sz w:val="40"/>
          <w:lang w:eastAsia="en-NZ"/>
        </w:rPr>
        <w:drawing>
          <wp:anchor distT="0" distB="0" distL="114300" distR="114300" simplePos="0" relativeHeight="251661312" behindDoc="0" locked="0" layoutInCell="1" allowOverlap="1">
            <wp:simplePos x="0" y="0"/>
            <wp:positionH relativeFrom="column">
              <wp:posOffset>-372745</wp:posOffset>
            </wp:positionH>
            <wp:positionV relativeFrom="paragraph">
              <wp:posOffset>-692150</wp:posOffset>
            </wp:positionV>
            <wp:extent cx="2658745" cy="675640"/>
            <wp:effectExtent l="19050" t="0" r="8255" b="0"/>
            <wp:wrapSquare wrapText="bothSides"/>
            <wp:docPr id="2" name="Picture 0" descr="LOGO Ministry of 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Ministry of Education.JPG"/>
                    <pic:cNvPicPr>
                      <a:picLocks noChangeAspect="1" noChangeArrowheads="1"/>
                    </pic:cNvPicPr>
                  </pic:nvPicPr>
                  <pic:blipFill>
                    <a:blip r:embed="rId8" cstate="print"/>
                    <a:srcRect/>
                    <a:stretch>
                      <a:fillRect/>
                    </a:stretch>
                  </pic:blipFill>
                  <pic:spPr bwMode="auto">
                    <a:xfrm>
                      <a:off x="0" y="0"/>
                      <a:ext cx="2658745" cy="675640"/>
                    </a:xfrm>
                    <a:prstGeom prst="rect">
                      <a:avLst/>
                    </a:prstGeom>
                    <a:noFill/>
                    <a:ln w="9525">
                      <a:noFill/>
                      <a:miter lim="800000"/>
                      <a:headEnd/>
                      <a:tailEnd/>
                    </a:ln>
                  </pic:spPr>
                </pic:pic>
              </a:graphicData>
            </a:graphic>
          </wp:anchor>
        </w:drawing>
      </w:r>
    </w:p>
    <w:p w:rsidR="00C84B2D" w:rsidRDefault="00C84B2D" w:rsidP="000E0368">
      <w:pPr>
        <w:pStyle w:val="MoECoverPageSubheading"/>
        <w:spacing w:after="0"/>
        <w:rPr>
          <w:b/>
          <w:color w:val="0070C0"/>
          <w:sz w:val="40"/>
        </w:rPr>
      </w:pPr>
    </w:p>
    <w:p w:rsidR="00C84B2D" w:rsidRDefault="00C84B2D" w:rsidP="000E0368">
      <w:pPr>
        <w:pStyle w:val="MoECoverPageSubheading"/>
        <w:spacing w:after="0"/>
        <w:rPr>
          <w:b/>
          <w:color w:val="0070C0"/>
          <w:sz w:val="40"/>
        </w:rPr>
      </w:pPr>
    </w:p>
    <w:p w:rsidR="00C84B2D" w:rsidRDefault="00C84B2D" w:rsidP="000E0368">
      <w:pPr>
        <w:pStyle w:val="MoECoverPageSubheading"/>
        <w:spacing w:after="0"/>
        <w:rPr>
          <w:b/>
          <w:color w:val="0070C0"/>
          <w:sz w:val="40"/>
        </w:rPr>
      </w:pPr>
    </w:p>
    <w:p w:rsidR="004C5E25" w:rsidRDefault="00F97DA5" w:rsidP="000E0368">
      <w:pPr>
        <w:pStyle w:val="MoECoverPageSubheading"/>
        <w:spacing w:after="0"/>
        <w:rPr>
          <w:b/>
          <w:color w:val="0070C0"/>
          <w:sz w:val="40"/>
        </w:rPr>
      </w:pPr>
      <w:r>
        <w:rPr>
          <w:b/>
          <w:noProof/>
          <w:color w:val="0070C0"/>
          <w:sz w:val="40"/>
          <w:lang w:eastAsia="en-NZ"/>
        </w:rPr>
        <w:pict>
          <v:shape id="_x0000_s1026" type="#_x0000_t202" style="position:absolute;margin-left:-12pt;margin-top:-8.55pt;width:265.5pt;height:22.55pt;z-index:251662336;mso-width-relative:margin;mso-height-relative:margin" strokecolor="white [3212]">
            <v:textbox>
              <w:txbxContent>
                <w:p w:rsidR="00F97DA5" w:rsidRPr="00F97DA5" w:rsidRDefault="00F97DA5" w:rsidP="00F97DA5">
                  <w:pPr>
                    <w:rPr>
                      <w:rFonts w:ascii="Tahoma" w:hAnsi="Tahoma" w:cs="Tahoma"/>
                      <w:sz w:val="24"/>
                      <w:szCs w:val="24"/>
                    </w:rPr>
                  </w:pPr>
                  <w:r>
                    <w:rPr>
                      <w:b/>
                    </w:rPr>
                    <w:t xml:space="preserve">  </w:t>
                  </w:r>
                  <w:r w:rsidRPr="00F97DA5">
                    <w:rPr>
                      <w:rFonts w:ascii="Tahoma" w:hAnsi="Tahoma" w:cs="Tahoma"/>
                      <w:b/>
                      <w:sz w:val="24"/>
                      <w:szCs w:val="24"/>
                    </w:rPr>
                    <w:t>DRAFT – NOT GOVERNMENT POLICY</w:t>
                  </w:r>
                </w:p>
                <w:p w:rsidR="00F97DA5" w:rsidRDefault="00F97DA5" w:rsidP="00F97DA5"/>
              </w:txbxContent>
            </v:textbox>
          </v:shape>
        </w:pict>
      </w:r>
    </w:p>
    <w:p w:rsidR="00F97DA5" w:rsidRDefault="00F97DA5" w:rsidP="000E0368">
      <w:pPr>
        <w:pStyle w:val="MoECoverPageSubheading"/>
        <w:spacing w:after="0"/>
        <w:rPr>
          <w:b/>
          <w:color w:val="0070C0"/>
          <w:sz w:val="40"/>
        </w:rPr>
      </w:pPr>
    </w:p>
    <w:p w:rsidR="00C84B2D" w:rsidRPr="00C84B2D" w:rsidRDefault="00C84B2D" w:rsidP="00C84B2D">
      <w:pPr>
        <w:keepNext/>
        <w:keepLines/>
        <w:spacing w:before="240" w:after="0" w:line="240" w:lineRule="auto"/>
        <w:jc w:val="right"/>
        <w:outlineLvl w:val="0"/>
        <w:rPr>
          <w:rFonts w:ascii="Arial" w:eastAsia="Times New Roman" w:hAnsi="Arial" w:cs="Arial"/>
          <w:b/>
          <w:bCs/>
          <w:color w:val="000000"/>
          <w:sz w:val="28"/>
          <w:szCs w:val="28"/>
          <w:lang w:val="en-AU"/>
        </w:rPr>
      </w:pPr>
      <w:r w:rsidRPr="00C84B2D">
        <w:rPr>
          <w:rFonts w:ascii="Arial" w:eastAsia="Times New Roman" w:hAnsi="Arial" w:cs="Arial"/>
          <w:b/>
          <w:bCs/>
          <w:color w:val="000000"/>
          <w:sz w:val="28"/>
          <w:szCs w:val="28"/>
          <w:lang w:val="en-AU"/>
        </w:rPr>
        <w:t xml:space="preserve">Review of Funding Systems </w:t>
      </w:r>
    </w:p>
    <w:p w:rsidR="00C84B2D" w:rsidRPr="00C84B2D" w:rsidRDefault="00C84B2D" w:rsidP="00C84B2D">
      <w:pPr>
        <w:keepNext/>
        <w:keepLines/>
        <w:spacing w:before="240" w:after="0" w:line="240" w:lineRule="auto"/>
        <w:jc w:val="right"/>
        <w:outlineLvl w:val="0"/>
        <w:rPr>
          <w:rFonts w:ascii="Arial" w:eastAsia="Times New Roman" w:hAnsi="Arial" w:cs="Arial"/>
          <w:b/>
          <w:bCs/>
          <w:color w:val="000000"/>
          <w:sz w:val="28"/>
          <w:szCs w:val="28"/>
          <w:lang w:val="en-AU"/>
        </w:rPr>
      </w:pPr>
      <w:r w:rsidRPr="00C84B2D">
        <w:rPr>
          <w:rFonts w:ascii="Arial" w:eastAsia="Times New Roman" w:hAnsi="Arial" w:cs="Arial"/>
          <w:b/>
          <w:bCs/>
          <w:color w:val="000000"/>
          <w:sz w:val="28"/>
          <w:szCs w:val="28"/>
          <w:lang w:val="en-AU"/>
        </w:rPr>
        <w:t>Background paper for Advisory Group</w:t>
      </w:r>
    </w:p>
    <w:p w:rsidR="00C84B2D" w:rsidRPr="00C84B2D" w:rsidRDefault="00C84B2D" w:rsidP="00C84B2D">
      <w:pPr>
        <w:spacing w:after="0" w:line="240" w:lineRule="auto"/>
        <w:rPr>
          <w:rFonts w:ascii="Arial" w:eastAsia="Times New Roman" w:hAnsi="Arial" w:cs="Arial"/>
          <w:color w:val="000000"/>
          <w:sz w:val="24"/>
          <w:szCs w:val="24"/>
          <w:lang w:val="en-AU"/>
        </w:rPr>
      </w:pPr>
    </w:p>
    <w:p w:rsidR="00C84B2D" w:rsidRPr="00C84B2D" w:rsidRDefault="00C84B2D" w:rsidP="00C84B2D">
      <w:pPr>
        <w:spacing w:after="0" w:line="240" w:lineRule="auto"/>
        <w:rPr>
          <w:rFonts w:ascii="Arial" w:eastAsia="Times New Roman" w:hAnsi="Arial" w:cs="Arial"/>
          <w:color w:val="000000"/>
          <w:sz w:val="24"/>
          <w:szCs w:val="24"/>
          <w:lang w:val="en-AU"/>
        </w:rPr>
      </w:pPr>
    </w:p>
    <w:p w:rsidR="008D6710" w:rsidRDefault="00C84B2D" w:rsidP="008D6710">
      <w:pPr>
        <w:spacing w:before="120" w:after="120" w:line="240" w:lineRule="auto"/>
        <w:jc w:val="right"/>
        <w:rPr>
          <w:rFonts w:ascii="Arial" w:eastAsia="Times New Roman" w:hAnsi="Arial" w:cs="Arial"/>
          <w:b/>
          <w:color w:val="000000"/>
          <w:sz w:val="40"/>
          <w:szCs w:val="40"/>
        </w:rPr>
      </w:pPr>
      <w:r>
        <w:rPr>
          <w:rFonts w:ascii="Arial" w:eastAsia="Times New Roman" w:hAnsi="Arial" w:cs="Arial"/>
          <w:b/>
          <w:color w:val="000000"/>
          <w:sz w:val="40"/>
          <w:szCs w:val="40"/>
        </w:rPr>
        <w:t>F</w:t>
      </w:r>
      <w:r w:rsidRPr="00C84B2D">
        <w:rPr>
          <w:rFonts w:ascii="Arial" w:eastAsia="Times New Roman" w:hAnsi="Arial" w:cs="Arial"/>
          <w:b/>
          <w:color w:val="000000"/>
          <w:sz w:val="40"/>
          <w:szCs w:val="40"/>
        </w:rPr>
        <w:t xml:space="preserve">unding </w:t>
      </w:r>
      <w:r>
        <w:rPr>
          <w:rFonts w:ascii="Arial" w:eastAsia="Times New Roman" w:hAnsi="Arial" w:cs="Arial"/>
          <w:b/>
          <w:color w:val="000000"/>
          <w:sz w:val="40"/>
          <w:szCs w:val="40"/>
        </w:rPr>
        <w:t xml:space="preserve">for isolation </w:t>
      </w:r>
      <w:r w:rsidRPr="00C84B2D">
        <w:rPr>
          <w:rFonts w:ascii="Arial" w:eastAsia="Times New Roman" w:hAnsi="Arial" w:cs="Arial"/>
          <w:b/>
          <w:color w:val="000000"/>
          <w:sz w:val="40"/>
          <w:szCs w:val="40"/>
        </w:rPr>
        <w:t>across schooling</w:t>
      </w:r>
      <w:r w:rsidR="008D6710">
        <w:rPr>
          <w:rFonts w:ascii="Arial" w:eastAsia="Times New Roman" w:hAnsi="Arial" w:cs="Arial"/>
          <w:b/>
          <w:color w:val="000000"/>
          <w:sz w:val="40"/>
          <w:szCs w:val="40"/>
        </w:rPr>
        <w:t xml:space="preserve"> and </w:t>
      </w:r>
    </w:p>
    <w:p w:rsidR="00C84B2D" w:rsidRPr="00C84B2D" w:rsidRDefault="008D6710" w:rsidP="008D6710">
      <w:pPr>
        <w:spacing w:before="120" w:after="120" w:line="240" w:lineRule="auto"/>
        <w:jc w:val="right"/>
        <w:rPr>
          <w:rFonts w:ascii="Arial" w:eastAsia="Times New Roman" w:hAnsi="Arial" w:cs="Arial"/>
          <w:b/>
          <w:color w:val="000000"/>
          <w:sz w:val="40"/>
          <w:szCs w:val="40"/>
        </w:rPr>
      </w:pPr>
      <w:proofErr w:type="gramStart"/>
      <w:r>
        <w:rPr>
          <w:rFonts w:ascii="Arial" w:eastAsia="Times New Roman" w:hAnsi="Arial" w:cs="Arial"/>
          <w:b/>
          <w:color w:val="000000"/>
          <w:sz w:val="40"/>
          <w:szCs w:val="40"/>
        </w:rPr>
        <w:t>early</w:t>
      </w:r>
      <w:proofErr w:type="gramEnd"/>
      <w:r>
        <w:rPr>
          <w:rFonts w:ascii="Arial" w:eastAsia="Times New Roman" w:hAnsi="Arial" w:cs="Arial"/>
          <w:b/>
          <w:color w:val="000000"/>
          <w:sz w:val="40"/>
          <w:szCs w:val="40"/>
        </w:rPr>
        <w:t xml:space="preserve"> learning</w:t>
      </w:r>
      <w:r w:rsidR="00C84B2D">
        <w:rPr>
          <w:rFonts w:ascii="Arial" w:eastAsia="Times New Roman" w:hAnsi="Arial" w:cs="Arial"/>
          <w:b/>
          <w:color w:val="000000"/>
          <w:sz w:val="40"/>
          <w:szCs w:val="40"/>
        </w:rPr>
        <w:t xml:space="preserve"> </w:t>
      </w:r>
    </w:p>
    <w:p w:rsidR="00C84B2D" w:rsidRPr="00C84B2D" w:rsidRDefault="00C84B2D" w:rsidP="00C84B2D">
      <w:pPr>
        <w:spacing w:before="60" w:after="220" w:line="280" w:lineRule="exact"/>
        <w:jc w:val="right"/>
        <w:rPr>
          <w:rFonts w:ascii="Arial" w:eastAsia="Times New Roman" w:hAnsi="Arial" w:cs="Arial"/>
          <w:b/>
          <w:color w:val="0070C0"/>
          <w:sz w:val="40"/>
          <w:szCs w:val="40"/>
        </w:rPr>
      </w:pPr>
    </w:p>
    <w:p w:rsidR="00C84B2D" w:rsidRPr="00C84B2D" w:rsidRDefault="00C84B2D" w:rsidP="00C84B2D">
      <w:pPr>
        <w:spacing w:before="60" w:after="220" w:line="280" w:lineRule="exact"/>
        <w:jc w:val="right"/>
        <w:rPr>
          <w:rFonts w:ascii="Arial" w:eastAsia="Times New Roman" w:hAnsi="Arial" w:cs="Arial"/>
          <w:b/>
          <w:color w:val="0070C0"/>
          <w:sz w:val="40"/>
          <w:szCs w:val="40"/>
        </w:rPr>
      </w:pPr>
    </w:p>
    <w:p w:rsidR="00C84B2D" w:rsidRPr="00C84B2D" w:rsidRDefault="00C84B2D" w:rsidP="00C84B2D">
      <w:pPr>
        <w:spacing w:before="60" w:after="220" w:line="280" w:lineRule="exact"/>
        <w:jc w:val="right"/>
        <w:rPr>
          <w:rFonts w:ascii="Arial" w:eastAsia="Times New Roman" w:hAnsi="Arial" w:cs="Arial"/>
          <w:b/>
          <w:color w:val="0070C0"/>
          <w:sz w:val="40"/>
          <w:szCs w:val="40"/>
        </w:rPr>
      </w:pPr>
    </w:p>
    <w:p w:rsidR="00C84B2D" w:rsidRPr="00C84B2D" w:rsidRDefault="00C84B2D" w:rsidP="00C84B2D">
      <w:pPr>
        <w:spacing w:before="60" w:after="220" w:line="280" w:lineRule="exact"/>
        <w:jc w:val="right"/>
        <w:rPr>
          <w:rFonts w:ascii="Arial" w:eastAsia="Times New Roman" w:hAnsi="Arial" w:cs="Arial"/>
          <w:b/>
          <w:color w:val="0070C0"/>
          <w:sz w:val="40"/>
          <w:szCs w:val="40"/>
        </w:rPr>
      </w:pPr>
    </w:p>
    <w:p w:rsidR="00C84B2D" w:rsidRPr="00C84B2D" w:rsidRDefault="00C84B2D" w:rsidP="00C84B2D">
      <w:pPr>
        <w:spacing w:before="60" w:after="220" w:line="280" w:lineRule="exact"/>
        <w:jc w:val="right"/>
        <w:rPr>
          <w:rFonts w:ascii="Arial" w:eastAsia="Times New Roman" w:hAnsi="Arial" w:cs="Arial"/>
          <w:b/>
          <w:color w:val="0070C0"/>
          <w:sz w:val="40"/>
          <w:szCs w:val="40"/>
        </w:rPr>
      </w:pPr>
    </w:p>
    <w:p w:rsidR="00C84B2D" w:rsidRPr="00C84B2D" w:rsidRDefault="00C84B2D" w:rsidP="00C84B2D">
      <w:pPr>
        <w:spacing w:before="60" w:after="220" w:line="280" w:lineRule="exact"/>
        <w:jc w:val="right"/>
        <w:rPr>
          <w:rFonts w:ascii="Arial" w:eastAsia="Times New Roman" w:hAnsi="Arial" w:cs="Arial"/>
          <w:b/>
          <w:color w:val="0070C0"/>
          <w:sz w:val="40"/>
          <w:szCs w:val="40"/>
        </w:rPr>
      </w:pPr>
    </w:p>
    <w:p w:rsidR="00C84B2D" w:rsidRPr="00C84B2D" w:rsidRDefault="00C84B2D" w:rsidP="00C84B2D">
      <w:pPr>
        <w:spacing w:before="60" w:after="220" w:line="280" w:lineRule="exact"/>
        <w:jc w:val="right"/>
        <w:rPr>
          <w:rFonts w:ascii="Arial" w:eastAsia="Times New Roman" w:hAnsi="Arial" w:cs="Arial"/>
          <w:sz w:val="24"/>
          <w:szCs w:val="20"/>
        </w:rPr>
      </w:pPr>
    </w:p>
    <w:p w:rsidR="00C84B2D" w:rsidRDefault="00F97DA5" w:rsidP="00C84B2D">
      <w:pPr>
        <w:pStyle w:val="MoECoverPageSubheading"/>
        <w:spacing w:after="0"/>
        <w:jc w:val="right"/>
        <w:rPr>
          <w:b/>
          <w:color w:val="0070C0"/>
          <w:sz w:val="40"/>
        </w:rPr>
      </w:pPr>
      <w:r>
        <w:rPr>
          <w:rFonts w:ascii="Tahoma" w:eastAsia="Times New Roman" w:hAnsi="Tahoma"/>
          <w:color w:val="auto"/>
          <w:sz w:val="24"/>
          <w:szCs w:val="24"/>
          <w:lang w:val="en-AU"/>
        </w:rPr>
        <w:t>24</w:t>
      </w:r>
      <w:r w:rsidR="00C84B2D" w:rsidRPr="00C84B2D">
        <w:rPr>
          <w:rFonts w:ascii="Tahoma" w:eastAsia="Times New Roman" w:hAnsi="Tahoma"/>
          <w:color w:val="auto"/>
          <w:sz w:val="24"/>
          <w:szCs w:val="24"/>
          <w:lang w:val="en-AU"/>
        </w:rPr>
        <w:t xml:space="preserve"> June 2016</w:t>
      </w:r>
    </w:p>
    <w:p w:rsidR="00C84B2D" w:rsidRDefault="00C84B2D" w:rsidP="000E0368">
      <w:pPr>
        <w:pStyle w:val="MoECoverPageSubheading"/>
        <w:spacing w:after="0"/>
        <w:rPr>
          <w:b/>
          <w:color w:val="0070C0"/>
          <w:sz w:val="40"/>
        </w:rPr>
      </w:pPr>
    </w:p>
    <w:p w:rsidR="00C84B2D" w:rsidRDefault="00C84B2D" w:rsidP="000E0368">
      <w:pPr>
        <w:pStyle w:val="MoECoverPageSubheading"/>
        <w:spacing w:after="0"/>
        <w:rPr>
          <w:b/>
          <w:color w:val="0070C0"/>
          <w:sz w:val="40"/>
        </w:rPr>
      </w:pPr>
      <w:r w:rsidRPr="00C84B2D">
        <w:rPr>
          <w:b/>
          <w:noProof/>
          <w:color w:val="0070C0"/>
          <w:sz w:val="40"/>
          <w:lang w:eastAsia="en-NZ"/>
        </w:rPr>
        <w:drawing>
          <wp:anchor distT="0" distB="0" distL="114300" distR="114300" simplePos="0" relativeHeight="251659264" behindDoc="1" locked="0" layoutInCell="1" allowOverlap="1">
            <wp:simplePos x="0" y="0"/>
            <wp:positionH relativeFrom="page">
              <wp:posOffset>5476875</wp:posOffset>
            </wp:positionH>
            <wp:positionV relativeFrom="page">
              <wp:posOffset>-114300</wp:posOffset>
            </wp:positionV>
            <wp:extent cx="2188210" cy="1647825"/>
            <wp:effectExtent l="0" t="0" r="254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7288" b="82629"/>
                    <a:stretch>
                      <a:fillRect/>
                    </a:stretch>
                  </pic:blipFill>
                  <pic:spPr bwMode="auto">
                    <a:xfrm>
                      <a:off x="0" y="0"/>
                      <a:ext cx="2188210" cy="1643380"/>
                    </a:xfrm>
                    <a:prstGeom prst="rect">
                      <a:avLst/>
                    </a:prstGeom>
                    <a:noFill/>
                  </pic:spPr>
                </pic:pic>
              </a:graphicData>
            </a:graphic>
          </wp:anchor>
        </w:drawing>
      </w:r>
    </w:p>
    <w:p w:rsidR="00C84B2D" w:rsidRDefault="00C84B2D" w:rsidP="000E0368">
      <w:pPr>
        <w:pStyle w:val="MoECoverPageSubheading"/>
        <w:spacing w:after="0"/>
        <w:rPr>
          <w:b/>
          <w:color w:val="0070C0"/>
          <w:sz w:val="40"/>
        </w:rPr>
      </w:pPr>
    </w:p>
    <w:p w:rsidR="00C84B2D" w:rsidRPr="00C84B2D" w:rsidRDefault="00C84B2D" w:rsidP="000E0368">
      <w:pPr>
        <w:pStyle w:val="MoECoverPageSubheading"/>
        <w:spacing w:after="0"/>
        <w:rPr>
          <w:b/>
          <w:color w:val="FF0000"/>
          <w:sz w:val="40"/>
        </w:rPr>
      </w:pPr>
    </w:p>
    <w:p w:rsidR="00C84B2D" w:rsidRDefault="00C84B2D" w:rsidP="000E0368">
      <w:pPr>
        <w:pStyle w:val="MoECoverPageSubheading"/>
        <w:spacing w:after="0"/>
        <w:rPr>
          <w:b/>
          <w:color w:val="0070C0"/>
          <w:sz w:val="40"/>
        </w:rPr>
      </w:pPr>
    </w:p>
    <w:p w:rsidR="00C84B2D" w:rsidRDefault="00C84B2D" w:rsidP="000E0368">
      <w:pPr>
        <w:pStyle w:val="MoECoverPageSubheading"/>
        <w:spacing w:after="0"/>
        <w:rPr>
          <w:b/>
          <w:color w:val="0070C0"/>
          <w:sz w:val="40"/>
        </w:rPr>
      </w:pPr>
    </w:p>
    <w:p w:rsidR="00C84B2D" w:rsidRDefault="00C84B2D" w:rsidP="000E0368">
      <w:pPr>
        <w:pStyle w:val="MoECoverPageSubheading"/>
        <w:spacing w:after="0"/>
        <w:rPr>
          <w:b/>
          <w:color w:val="0070C0"/>
          <w:sz w:val="40"/>
        </w:rPr>
      </w:pPr>
    </w:p>
    <w:p w:rsidR="00C84B2D" w:rsidRDefault="00C84B2D" w:rsidP="000E0368">
      <w:pPr>
        <w:pStyle w:val="MoECoverPageSubheading"/>
        <w:spacing w:after="0"/>
        <w:rPr>
          <w:b/>
          <w:color w:val="0070C0"/>
          <w:sz w:val="40"/>
        </w:rPr>
      </w:pPr>
    </w:p>
    <w:p w:rsidR="00C84B2D" w:rsidRDefault="00C84B2D" w:rsidP="000E0368">
      <w:pPr>
        <w:pStyle w:val="MoECoverPageSubheading"/>
        <w:spacing w:after="0"/>
        <w:rPr>
          <w:b/>
          <w:color w:val="0070C0"/>
          <w:sz w:val="40"/>
        </w:rPr>
      </w:pPr>
    </w:p>
    <w:p w:rsidR="00C84B2D" w:rsidRDefault="00C84B2D" w:rsidP="000E0368">
      <w:pPr>
        <w:pStyle w:val="MoECoverPageSubheading"/>
        <w:spacing w:after="0"/>
        <w:rPr>
          <w:b/>
          <w:color w:val="0070C0"/>
          <w:sz w:val="40"/>
        </w:rPr>
      </w:pPr>
    </w:p>
    <w:p w:rsidR="00C84B2D" w:rsidRDefault="00C84B2D" w:rsidP="000E0368">
      <w:pPr>
        <w:pStyle w:val="MoECoverPageSubheading"/>
        <w:spacing w:after="0"/>
        <w:rPr>
          <w:b/>
          <w:color w:val="0070C0"/>
          <w:sz w:val="40"/>
        </w:rPr>
      </w:pPr>
    </w:p>
    <w:p w:rsidR="00C84B2D" w:rsidRDefault="00C84B2D" w:rsidP="000E0368">
      <w:pPr>
        <w:pStyle w:val="MoECoverPageSubheading"/>
        <w:spacing w:after="0"/>
        <w:rPr>
          <w:b/>
          <w:color w:val="0070C0"/>
          <w:sz w:val="40"/>
        </w:rPr>
      </w:pPr>
    </w:p>
    <w:p w:rsidR="00C84B2D" w:rsidRDefault="00C84B2D" w:rsidP="000E0368">
      <w:pPr>
        <w:pStyle w:val="MoECoverPageSubheading"/>
        <w:spacing w:after="0"/>
        <w:rPr>
          <w:b/>
          <w:color w:val="0070C0"/>
          <w:sz w:val="40"/>
        </w:rPr>
      </w:pPr>
    </w:p>
    <w:p w:rsidR="00C84B2D" w:rsidRDefault="00C84B2D" w:rsidP="000E0368">
      <w:pPr>
        <w:pStyle w:val="MoECoverPageSubheading"/>
        <w:spacing w:after="0"/>
        <w:rPr>
          <w:b/>
          <w:color w:val="0070C0"/>
          <w:sz w:val="40"/>
        </w:rPr>
      </w:pPr>
    </w:p>
    <w:p w:rsidR="00C84B2D" w:rsidRDefault="00C84B2D" w:rsidP="000E0368">
      <w:pPr>
        <w:pStyle w:val="MoECoverPageSubheading"/>
        <w:spacing w:after="0"/>
        <w:rPr>
          <w:b/>
          <w:color w:val="0070C0"/>
          <w:sz w:val="40"/>
        </w:rPr>
      </w:pPr>
    </w:p>
    <w:p w:rsidR="00C84B2D" w:rsidRDefault="00C84B2D" w:rsidP="000E0368">
      <w:pPr>
        <w:pStyle w:val="MoECoverPageSubheading"/>
        <w:spacing w:after="0"/>
        <w:rPr>
          <w:b/>
          <w:color w:val="0070C0"/>
          <w:sz w:val="40"/>
        </w:rPr>
      </w:pPr>
    </w:p>
    <w:p w:rsidR="00C84B2D" w:rsidRDefault="00C84B2D" w:rsidP="000E0368">
      <w:pPr>
        <w:pStyle w:val="MoECoverPageSubheading"/>
        <w:spacing w:after="0"/>
        <w:rPr>
          <w:b/>
          <w:color w:val="0070C0"/>
          <w:sz w:val="40"/>
        </w:rPr>
      </w:pPr>
    </w:p>
    <w:p w:rsidR="00C84B2D" w:rsidRDefault="00C84B2D" w:rsidP="000E0368">
      <w:pPr>
        <w:pStyle w:val="MoECoverPageSubheading"/>
        <w:spacing w:after="0"/>
        <w:rPr>
          <w:b/>
          <w:color w:val="0070C0"/>
          <w:sz w:val="40"/>
        </w:rPr>
      </w:pPr>
    </w:p>
    <w:p w:rsidR="00C84B2D" w:rsidRDefault="00C84B2D" w:rsidP="000E0368">
      <w:pPr>
        <w:pStyle w:val="MoECoverPageSubheading"/>
        <w:spacing w:after="0"/>
        <w:rPr>
          <w:b/>
          <w:color w:val="0070C0"/>
          <w:sz w:val="40"/>
        </w:rPr>
      </w:pPr>
    </w:p>
    <w:p w:rsidR="00C84B2D" w:rsidRDefault="00C84B2D" w:rsidP="000E0368">
      <w:pPr>
        <w:pStyle w:val="MoECoverPageSubheading"/>
        <w:spacing w:after="0"/>
        <w:rPr>
          <w:b/>
          <w:color w:val="0070C0"/>
          <w:sz w:val="40"/>
        </w:rPr>
      </w:pPr>
    </w:p>
    <w:p w:rsidR="00C84B2D" w:rsidRDefault="00C84B2D" w:rsidP="000E0368">
      <w:pPr>
        <w:pStyle w:val="MoECoverPageSubheading"/>
        <w:spacing w:after="0"/>
        <w:rPr>
          <w:b/>
          <w:color w:val="0070C0"/>
          <w:sz w:val="40"/>
        </w:rPr>
      </w:pPr>
    </w:p>
    <w:p w:rsidR="00C84B2D" w:rsidRDefault="00C84B2D" w:rsidP="000E0368">
      <w:pPr>
        <w:pStyle w:val="MoECoverPageSubheading"/>
        <w:spacing w:after="0"/>
        <w:rPr>
          <w:b/>
          <w:color w:val="0070C0"/>
          <w:sz w:val="40"/>
        </w:rPr>
      </w:pPr>
    </w:p>
    <w:p w:rsidR="00C84B2D" w:rsidRDefault="00C84B2D" w:rsidP="000E0368">
      <w:pPr>
        <w:pStyle w:val="MoECoverPageSubheading"/>
        <w:spacing w:after="0"/>
        <w:rPr>
          <w:b/>
          <w:color w:val="0070C0"/>
          <w:sz w:val="40"/>
        </w:rPr>
      </w:pPr>
    </w:p>
    <w:p w:rsidR="00C84B2D" w:rsidRDefault="00C84B2D" w:rsidP="000E0368">
      <w:pPr>
        <w:pStyle w:val="MoECoverPageSubheading"/>
        <w:spacing w:after="0"/>
        <w:rPr>
          <w:b/>
          <w:color w:val="0070C0"/>
          <w:sz w:val="40"/>
        </w:rPr>
      </w:pPr>
    </w:p>
    <w:p w:rsidR="00C84B2D" w:rsidRDefault="00C84B2D" w:rsidP="000E0368">
      <w:pPr>
        <w:pStyle w:val="MoECoverPageSubheading"/>
        <w:spacing w:after="0"/>
        <w:rPr>
          <w:b/>
          <w:color w:val="0070C0"/>
          <w:sz w:val="40"/>
        </w:rPr>
      </w:pPr>
    </w:p>
    <w:p w:rsidR="00C84B2D" w:rsidRDefault="00C84B2D" w:rsidP="000E0368">
      <w:pPr>
        <w:pStyle w:val="MoECoverPageSubheading"/>
        <w:spacing w:after="0"/>
        <w:rPr>
          <w:b/>
          <w:color w:val="0070C0"/>
          <w:sz w:val="40"/>
        </w:rPr>
      </w:pPr>
    </w:p>
    <w:p w:rsidR="00C84B2D" w:rsidRDefault="00C84B2D" w:rsidP="000E0368">
      <w:pPr>
        <w:pStyle w:val="MoECoverPageSubheading"/>
        <w:spacing w:after="0"/>
        <w:rPr>
          <w:b/>
          <w:color w:val="0070C0"/>
          <w:sz w:val="40"/>
        </w:rPr>
      </w:pPr>
    </w:p>
    <w:p w:rsidR="00C84B2D" w:rsidRDefault="00C84B2D" w:rsidP="000E0368">
      <w:pPr>
        <w:pStyle w:val="MoECoverPageSubheading"/>
        <w:spacing w:after="0"/>
        <w:rPr>
          <w:b/>
          <w:color w:val="0070C0"/>
          <w:sz w:val="40"/>
        </w:rPr>
      </w:pPr>
    </w:p>
    <w:p w:rsidR="00C84B2D" w:rsidRDefault="00C84B2D" w:rsidP="000E0368">
      <w:pPr>
        <w:pStyle w:val="MoECoverPageSubheading"/>
        <w:spacing w:after="0"/>
        <w:rPr>
          <w:b/>
          <w:color w:val="0070C0"/>
          <w:sz w:val="40"/>
        </w:rPr>
      </w:pPr>
    </w:p>
    <w:p w:rsidR="00C84B2D" w:rsidRDefault="00C84B2D" w:rsidP="000E0368">
      <w:pPr>
        <w:pStyle w:val="MoECoverPageSubheading"/>
        <w:spacing w:after="0"/>
        <w:rPr>
          <w:b/>
          <w:color w:val="0070C0"/>
          <w:sz w:val="40"/>
        </w:rPr>
      </w:pPr>
    </w:p>
    <w:p w:rsidR="00C84B2D" w:rsidRDefault="00C84B2D" w:rsidP="000E0368">
      <w:pPr>
        <w:pStyle w:val="MoECoverPageSubheading"/>
        <w:spacing w:after="0"/>
        <w:rPr>
          <w:b/>
          <w:color w:val="0070C0"/>
          <w:sz w:val="40"/>
        </w:rPr>
      </w:pPr>
    </w:p>
    <w:p w:rsidR="00C84B2D" w:rsidRDefault="00C84B2D" w:rsidP="000E0368">
      <w:pPr>
        <w:pStyle w:val="MoECoverPageSubheading"/>
        <w:spacing w:after="0"/>
        <w:rPr>
          <w:b/>
          <w:color w:val="0070C0"/>
          <w:sz w:val="40"/>
        </w:rPr>
      </w:pPr>
    </w:p>
    <w:p w:rsidR="00C84B2D" w:rsidRDefault="00C84B2D" w:rsidP="000E0368">
      <w:pPr>
        <w:pStyle w:val="MoECoverPageSubheading"/>
        <w:spacing w:after="0"/>
        <w:rPr>
          <w:b/>
          <w:color w:val="0070C0"/>
          <w:sz w:val="40"/>
        </w:rPr>
      </w:pPr>
    </w:p>
    <w:p w:rsidR="00C84B2D" w:rsidRDefault="00C84B2D" w:rsidP="000E0368">
      <w:pPr>
        <w:pStyle w:val="MoECoverPageSubheading"/>
        <w:spacing w:after="0"/>
        <w:rPr>
          <w:b/>
          <w:color w:val="0070C0"/>
          <w:sz w:val="40"/>
        </w:rPr>
      </w:pPr>
    </w:p>
    <w:p w:rsidR="00C84B2D" w:rsidRDefault="00C84B2D" w:rsidP="000E0368">
      <w:pPr>
        <w:pStyle w:val="MoECoverPageSubheading"/>
        <w:spacing w:after="0"/>
        <w:rPr>
          <w:b/>
          <w:color w:val="0070C0"/>
          <w:sz w:val="40"/>
        </w:rPr>
      </w:pPr>
    </w:p>
    <w:p w:rsidR="0088756C" w:rsidRDefault="0088756C" w:rsidP="000E0368">
      <w:pPr>
        <w:pStyle w:val="MoECoverPageSubheading"/>
        <w:spacing w:after="0"/>
        <w:rPr>
          <w:b/>
          <w:color w:val="0070C0"/>
          <w:sz w:val="40"/>
        </w:rPr>
      </w:pPr>
    </w:p>
    <w:p w:rsidR="001D1B4A" w:rsidRDefault="003A3CDC" w:rsidP="000E0368">
      <w:pPr>
        <w:pStyle w:val="MoECoverPageSubheading"/>
        <w:spacing w:after="0"/>
        <w:rPr>
          <w:b/>
          <w:color w:val="0070C0"/>
          <w:sz w:val="40"/>
        </w:rPr>
      </w:pPr>
      <w:r>
        <w:rPr>
          <w:b/>
          <w:color w:val="0070C0"/>
          <w:sz w:val="40"/>
        </w:rPr>
        <w:t>Funding for i</w:t>
      </w:r>
      <w:r w:rsidR="001E3991">
        <w:rPr>
          <w:b/>
          <w:color w:val="0070C0"/>
          <w:sz w:val="40"/>
        </w:rPr>
        <w:t>solation across schooling and e</w:t>
      </w:r>
      <w:r w:rsidR="000F1390">
        <w:rPr>
          <w:b/>
          <w:color w:val="0070C0"/>
          <w:sz w:val="40"/>
        </w:rPr>
        <w:t xml:space="preserve">arly </w:t>
      </w:r>
      <w:bookmarkStart w:id="0" w:name="_Toc443578244"/>
      <w:r w:rsidR="00DA47DB">
        <w:rPr>
          <w:b/>
          <w:color w:val="0070C0"/>
          <w:sz w:val="40"/>
        </w:rPr>
        <w:t>learning</w:t>
      </w:r>
    </w:p>
    <w:p w:rsidR="000E0368" w:rsidRPr="008F3660" w:rsidRDefault="000E0368" w:rsidP="000E0368">
      <w:pPr>
        <w:pStyle w:val="MoECoverPageSubheading"/>
        <w:spacing w:after="0"/>
        <w:rPr>
          <w:b/>
          <w:color w:val="0070C0"/>
          <w:sz w:val="24"/>
          <w:szCs w:val="24"/>
        </w:rPr>
      </w:pPr>
    </w:p>
    <w:p w:rsidR="001D1B4A" w:rsidRDefault="001D1B4A" w:rsidP="000E0368">
      <w:pPr>
        <w:pStyle w:val="BlueSubheading3"/>
        <w:spacing w:before="0" w:after="0"/>
        <w:rPr>
          <w:sz w:val="24"/>
        </w:rPr>
      </w:pPr>
      <w:r>
        <w:rPr>
          <w:sz w:val="24"/>
        </w:rPr>
        <w:t>Introduction</w:t>
      </w:r>
    </w:p>
    <w:p w:rsidR="000E0368" w:rsidRPr="008F3660" w:rsidRDefault="000E0368" w:rsidP="000E0368">
      <w:pPr>
        <w:pStyle w:val="BlueSubheading3"/>
        <w:spacing w:before="0" w:after="0"/>
        <w:rPr>
          <w:sz w:val="22"/>
        </w:rPr>
      </w:pPr>
    </w:p>
    <w:p w:rsidR="008759B7" w:rsidRPr="008759B7" w:rsidRDefault="008759B7" w:rsidP="008759B7">
      <w:pPr>
        <w:pStyle w:val="BlueSubheading3"/>
        <w:spacing w:before="0" w:after="0"/>
        <w:jc w:val="both"/>
        <w:rPr>
          <w:b w:val="0"/>
          <w:color w:val="auto"/>
          <w:sz w:val="22"/>
        </w:rPr>
      </w:pPr>
      <w:r w:rsidRPr="008759B7">
        <w:rPr>
          <w:b w:val="0"/>
          <w:color w:val="auto"/>
          <w:sz w:val="22"/>
        </w:rPr>
        <w:t>The Review of Education Funding Systems for</w:t>
      </w:r>
      <w:r w:rsidR="00DA47DB">
        <w:rPr>
          <w:b w:val="0"/>
          <w:color w:val="auto"/>
          <w:sz w:val="22"/>
        </w:rPr>
        <w:t xml:space="preserve"> early learning</w:t>
      </w:r>
      <w:r w:rsidRPr="008759B7">
        <w:rPr>
          <w:b w:val="0"/>
          <w:color w:val="auto"/>
          <w:sz w:val="22"/>
        </w:rPr>
        <w:t xml:space="preserve"> services and schooling is seeking, as part of the broader Education Work Programme, to ensure funding is directed to the siz</w:t>
      </w:r>
      <w:r w:rsidR="00DA47DB">
        <w:rPr>
          <w:b w:val="0"/>
          <w:color w:val="auto"/>
          <w:sz w:val="22"/>
        </w:rPr>
        <w:t>e of the education challenge early learning</w:t>
      </w:r>
      <w:r w:rsidRPr="008759B7">
        <w:rPr>
          <w:b w:val="0"/>
          <w:color w:val="auto"/>
          <w:sz w:val="22"/>
        </w:rPr>
        <w:t xml:space="preserve"> services, schools and Communities of Learning face, and towards growing the learning and achievement of all children and young people</w:t>
      </w:r>
      <w:r>
        <w:rPr>
          <w:b w:val="0"/>
          <w:color w:val="auto"/>
          <w:sz w:val="22"/>
        </w:rPr>
        <w:t>.</w:t>
      </w:r>
    </w:p>
    <w:p w:rsidR="008759B7" w:rsidRDefault="008759B7" w:rsidP="000E0368">
      <w:pPr>
        <w:pStyle w:val="BlueSubheading3"/>
        <w:spacing w:before="0" w:after="0"/>
        <w:jc w:val="both"/>
        <w:rPr>
          <w:b w:val="0"/>
          <w:color w:val="auto"/>
          <w:sz w:val="22"/>
        </w:rPr>
      </w:pPr>
    </w:p>
    <w:p w:rsidR="00BF3246" w:rsidRDefault="002377CA" w:rsidP="000E0368">
      <w:pPr>
        <w:pStyle w:val="BlueSubheading3"/>
        <w:spacing w:before="0" w:after="0"/>
        <w:jc w:val="both"/>
        <w:rPr>
          <w:b w:val="0"/>
          <w:color w:val="auto"/>
          <w:sz w:val="22"/>
        </w:rPr>
      </w:pPr>
      <w:r w:rsidRPr="007A687B">
        <w:rPr>
          <w:b w:val="0"/>
          <w:color w:val="auto"/>
          <w:sz w:val="22"/>
        </w:rPr>
        <w:t>The funding mod</w:t>
      </w:r>
      <w:r w:rsidR="007A687B" w:rsidRPr="007A687B">
        <w:rPr>
          <w:b w:val="0"/>
          <w:color w:val="auto"/>
          <w:sz w:val="22"/>
        </w:rPr>
        <w:t xml:space="preserve">el </w:t>
      </w:r>
      <w:r w:rsidR="002A7C4E">
        <w:rPr>
          <w:b w:val="0"/>
          <w:color w:val="auto"/>
          <w:sz w:val="22"/>
        </w:rPr>
        <w:t>being explored</w:t>
      </w:r>
      <w:r w:rsidR="00D37096">
        <w:rPr>
          <w:b w:val="0"/>
          <w:color w:val="auto"/>
          <w:sz w:val="22"/>
        </w:rPr>
        <w:t xml:space="preserve"> </w:t>
      </w:r>
      <w:r w:rsidR="007A687B" w:rsidRPr="007A687B">
        <w:rPr>
          <w:b w:val="0"/>
          <w:color w:val="auto"/>
          <w:sz w:val="22"/>
        </w:rPr>
        <w:t>th</w:t>
      </w:r>
      <w:r w:rsidR="00D37096">
        <w:rPr>
          <w:b w:val="0"/>
          <w:color w:val="auto"/>
          <w:sz w:val="22"/>
        </w:rPr>
        <w:t xml:space="preserve">rough the Review comprises </w:t>
      </w:r>
      <w:r w:rsidRPr="007A687B">
        <w:rPr>
          <w:b w:val="0"/>
          <w:color w:val="auto"/>
          <w:sz w:val="22"/>
        </w:rPr>
        <w:t>a standard per-</w:t>
      </w:r>
      <w:r w:rsidR="00EB5AD0">
        <w:rPr>
          <w:b w:val="0"/>
          <w:color w:val="auto"/>
          <w:sz w:val="22"/>
        </w:rPr>
        <w:t>child</w:t>
      </w:r>
      <w:r w:rsidRPr="007A687B">
        <w:rPr>
          <w:b w:val="0"/>
          <w:color w:val="auto"/>
          <w:sz w:val="22"/>
        </w:rPr>
        <w:t xml:space="preserve"> funding amount</w:t>
      </w:r>
      <w:r w:rsidR="00D37096">
        <w:rPr>
          <w:b w:val="0"/>
          <w:color w:val="auto"/>
          <w:sz w:val="22"/>
        </w:rPr>
        <w:t xml:space="preserve"> together with </w:t>
      </w:r>
      <w:r w:rsidRPr="007A687B">
        <w:rPr>
          <w:b w:val="0"/>
          <w:color w:val="auto"/>
          <w:sz w:val="22"/>
        </w:rPr>
        <w:t>a</w:t>
      </w:r>
      <w:r w:rsidR="00D37096">
        <w:rPr>
          <w:b w:val="0"/>
          <w:color w:val="auto"/>
          <w:sz w:val="22"/>
        </w:rPr>
        <w:t>dditional</w:t>
      </w:r>
      <w:r w:rsidRPr="007A687B">
        <w:rPr>
          <w:b w:val="0"/>
          <w:color w:val="auto"/>
          <w:sz w:val="22"/>
        </w:rPr>
        <w:t xml:space="preserve"> </w:t>
      </w:r>
      <w:r w:rsidR="002A7C4E">
        <w:rPr>
          <w:b w:val="0"/>
          <w:color w:val="auto"/>
          <w:sz w:val="22"/>
        </w:rPr>
        <w:t>funding</w:t>
      </w:r>
      <w:r w:rsidRPr="007A687B">
        <w:rPr>
          <w:b w:val="0"/>
          <w:color w:val="auto"/>
          <w:sz w:val="22"/>
        </w:rPr>
        <w:t xml:space="preserve"> for </w:t>
      </w:r>
      <w:r w:rsidR="002A7C4E">
        <w:rPr>
          <w:b w:val="0"/>
          <w:color w:val="auto"/>
          <w:sz w:val="22"/>
        </w:rPr>
        <w:t>children and young people most</w:t>
      </w:r>
      <w:r w:rsidR="00EB5AD0">
        <w:rPr>
          <w:b w:val="0"/>
          <w:color w:val="auto"/>
          <w:sz w:val="22"/>
        </w:rPr>
        <w:t xml:space="preserve"> at </w:t>
      </w:r>
      <w:r w:rsidRPr="007A687B">
        <w:rPr>
          <w:b w:val="0"/>
          <w:color w:val="auto"/>
          <w:sz w:val="22"/>
        </w:rPr>
        <w:t>risk of educational under-achievement</w:t>
      </w:r>
      <w:r w:rsidR="00D37096">
        <w:rPr>
          <w:b w:val="0"/>
          <w:color w:val="auto"/>
          <w:sz w:val="22"/>
        </w:rPr>
        <w:t xml:space="preserve">. The model envisages providing supplementary funding where necessary to maintain the educational viability of particular </w:t>
      </w:r>
      <w:r w:rsidR="00DA47DB">
        <w:rPr>
          <w:b w:val="0"/>
          <w:color w:val="auto"/>
          <w:sz w:val="22"/>
        </w:rPr>
        <w:t>early learning</w:t>
      </w:r>
      <w:r w:rsidR="004678DB">
        <w:rPr>
          <w:b w:val="0"/>
          <w:color w:val="auto"/>
          <w:sz w:val="22"/>
        </w:rPr>
        <w:t xml:space="preserve"> </w:t>
      </w:r>
      <w:r w:rsidR="00D37096">
        <w:rPr>
          <w:b w:val="0"/>
          <w:color w:val="auto"/>
          <w:sz w:val="22"/>
        </w:rPr>
        <w:t>services</w:t>
      </w:r>
      <w:r w:rsidR="004678DB">
        <w:rPr>
          <w:b w:val="0"/>
          <w:color w:val="auto"/>
          <w:sz w:val="22"/>
        </w:rPr>
        <w:t xml:space="preserve"> and schools</w:t>
      </w:r>
      <w:r w:rsidR="00D37096">
        <w:rPr>
          <w:b w:val="0"/>
          <w:color w:val="auto"/>
          <w:sz w:val="22"/>
        </w:rPr>
        <w:t>, consist</w:t>
      </w:r>
      <w:r w:rsidR="00901D3A">
        <w:rPr>
          <w:b w:val="0"/>
          <w:color w:val="auto"/>
          <w:sz w:val="22"/>
        </w:rPr>
        <w:t>ent with ensuring a</w:t>
      </w:r>
      <w:r w:rsidR="00D37096">
        <w:rPr>
          <w:b w:val="0"/>
          <w:color w:val="auto"/>
          <w:sz w:val="22"/>
        </w:rPr>
        <w:t xml:space="preserve"> network of provision.</w:t>
      </w:r>
      <w:r w:rsidR="00BF3246">
        <w:rPr>
          <w:b w:val="0"/>
          <w:color w:val="auto"/>
          <w:sz w:val="22"/>
        </w:rPr>
        <w:t xml:space="preserve"> Particular services</w:t>
      </w:r>
      <w:r w:rsidR="004678DB">
        <w:rPr>
          <w:b w:val="0"/>
          <w:color w:val="auto"/>
          <w:sz w:val="22"/>
        </w:rPr>
        <w:t xml:space="preserve"> and </w:t>
      </w:r>
      <w:r w:rsidR="00BF3246">
        <w:rPr>
          <w:b w:val="0"/>
          <w:color w:val="auto"/>
          <w:sz w:val="22"/>
        </w:rPr>
        <w:t>schools would receive supplementary funding a</w:t>
      </w:r>
      <w:r w:rsidR="00DC76FF">
        <w:rPr>
          <w:b w:val="0"/>
          <w:color w:val="auto"/>
          <w:sz w:val="22"/>
        </w:rPr>
        <w:t>s a result of their isolation</w:t>
      </w:r>
      <w:r w:rsidR="002A7C4E">
        <w:rPr>
          <w:b w:val="0"/>
          <w:color w:val="auto"/>
          <w:sz w:val="22"/>
        </w:rPr>
        <w:t>.</w:t>
      </w:r>
      <w:r w:rsidR="005C0763" w:rsidRPr="007A687B">
        <w:rPr>
          <w:b w:val="0"/>
          <w:color w:val="auto"/>
          <w:sz w:val="22"/>
        </w:rPr>
        <w:t xml:space="preserve"> </w:t>
      </w:r>
    </w:p>
    <w:p w:rsidR="002A7C4E" w:rsidRDefault="002A7C4E" w:rsidP="000E0368">
      <w:pPr>
        <w:pStyle w:val="BlueSubheading3"/>
        <w:spacing w:before="0" w:after="0"/>
        <w:jc w:val="both"/>
        <w:rPr>
          <w:b w:val="0"/>
          <w:color w:val="auto"/>
          <w:sz w:val="22"/>
        </w:rPr>
      </w:pPr>
    </w:p>
    <w:p w:rsidR="007A687B" w:rsidRDefault="00BF3246" w:rsidP="000E0368">
      <w:pPr>
        <w:pStyle w:val="BlueSubheading3"/>
        <w:spacing w:before="0" w:after="0"/>
        <w:jc w:val="both"/>
        <w:rPr>
          <w:b w:val="0"/>
          <w:color w:val="auto"/>
          <w:sz w:val="22"/>
        </w:rPr>
      </w:pPr>
      <w:r>
        <w:rPr>
          <w:b w:val="0"/>
          <w:color w:val="auto"/>
          <w:sz w:val="22"/>
        </w:rPr>
        <w:t>In this paper we outline</w:t>
      </w:r>
      <w:r w:rsidR="005C0763" w:rsidRPr="007A687B">
        <w:rPr>
          <w:b w:val="0"/>
          <w:color w:val="auto"/>
          <w:sz w:val="22"/>
        </w:rPr>
        <w:t xml:space="preserve"> current funding arrangements that provide specific support for isolated services and schools</w:t>
      </w:r>
      <w:r w:rsidR="007A687B" w:rsidRPr="007A687B">
        <w:rPr>
          <w:b w:val="0"/>
          <w:color w:val="auto"/>
          <w:sz w:val="22"/>
        </w:rPr>
        <w:t>, explore the nature of the costs that are affected by isolation and the materiality of the cost differential</w:t>
      </w:r>
      <w:r>
        <w:rPr>
          <w:b w:val="0"/>
          <w:color w:val="auto"/>
          <w:sz w:val="22"/>
        </w:rPr>
        <w:t>, consider arrangements in other jurisdictions and suggest directions for change.</w:t>
      </w:r>
      <w:r w:rsidR="007A687B" w:rsidRPr="007A687B">
        <w:rPr>
          <w:b w:val="0"/>
          <w:color w:val="auto"/>
          <w:sz w:val="22"/>
        </w:rPr>
        <w:t xml:space="preserve">  </w:t>
      </w:r>
    </w:p>
    <w:p w:rsidR="000E0368" w:rsidRPr="008F3660" w:rsidRDefault="000E0368" w:rsidP="000E0368">
      <w:pPr>
        <w:pStyle w:val="BlueSubheading3"/>
        <w:spacing w:before="0" w:after="0"/>
        <w:jc w:val="both"/>
        <w:rPr>
          <w:b w:val="0"/>
          <w:color w:val="auto"/>
          <w:sz w:val="22"/>
        </w:rPr>
      </w:pPr>
    </w:p>
    <w:p w:rsidR="008E6D10" w:rsidRDefault="002A7C4E" w:rsidP="000E0368">
      <w:pPr>
        <w:pStyle w:val="BlueSubheading3"/>
        <w:spacing w:before="0" w:after="0"/>
        <w:rPr>
          <w:sz w:val="24"/>
        </w:rPr>
      </w:pPr>
      <w:r>
        <w:rPr>
          <w:sz w:val="24"/>
        </w:rPr>
        <w:t>Funding for i</w:t>
      </w:r>
      <w:r w:rsidR="00BE685D">
        <w:rPr>
          <w:sz w:val="24"/>
        </w:rPr>
        <w:t>solation and its purpose</w:t>
      </w:r>
    </w:p>
    <w:p w:rsidR="000E0368" w:rsidRPr="008F3660" w:rsidRDefault="000E0368" w:rsidP="000E0368">
      <w:pPr>
        <w:pStyle w:val="BlueSubheading3"/>
        <w:spacing w:before="0" w:after="0"/>
        <w:rPr>
          <w:sz w:val="22"/>
        </w:rPr>
      </w:pPr>
    </w:p>
    <w:p w:rsidR="00EA65D3" w:rsidRDefault="007A687B" w:rsidP="000E0368">
      <w:pPr>
        <w:spacing w:after="0" w:line="240" w:lineRule="auto"/>
        <w:contextualSpacing/>
        <w:jc w:val="both"/>
        <w:rPr>
          <w:rFonts w:ascii="Arial" w:hAnsi="Arial"/>
        </w:rPr>
      </w:pPr>
      <w:r>
        <w:rPr>
          <w:rFonts w:ascii="Arial" w:hAnsi="Arial"/>
        </w:rPr>
        <w:t>The current funding model for state and state-integrated school</w:t>
      </w:r>
      <w:r w:rsidR="004678DB">
        <w:rPr>
          <w:rFonts w:ascii="Arial" w:hAnsi="Arial"/>
        </w:rPr>
        <w:t>s</w:t>
      </w:r>
      <w:r>
        <w:rPr>
          <w:rFonts w:ascii="Arial" w:hAnsi="Arial"/>
        </w:rPr>
        <w:t xml:space="preserve"> provides specific additional funding for schools that are deemed to be isolated. </w:t>
      </w:r>
      <w:r w:rsidR="00EA65D3">
        <w:rPr>
          <w:rFonts w:ascii="Arial" w:hAnsi="Arial"/>
        </w:rPr>
        <w:t xml:space="preserve">This is primarily provided through the Targeted Funding for Isolation component of the operational grant. There is </w:t>
      </w:r>
      <w:r w:rsidR="00BF3246">
        <w:rPr>
          <w:rFonts w:ascii="Arial" w:hAnsi="Arial"/>
        </w:rPr>
        <w:t xml:space="preserve">also </w:t>
      </w:r>
      <w:r w:rsidR="00EA65D3">
        <w:rPr>
          <w:rFonts w:ascii="Arial" w:hAnsi="Arial"/>
        </w:rPr>
        <w:t>an isolation component within the Property Maintenance Grant</w:t>
      </w:r>
      <w:r w:rsidR="004678DB">
        <w:rPr>
          <w:rFonts w:ascii="Arial" w:hAnsi="Arial"/>
        </w:rPr>
        <w:t xml:space="preserve"> which is another element of operational grant funding.</w:t>
      </w:r>
    </w:p>
    <w:p w:rsidR="00EA65D3" w:rsidRDefault="00EA65D3" w:rsidP="000E0368">
      <w:pPr>
        <w:spacing w:after="0" w:line="240" w:lineRule="auto"/>
        <w:contextualSpacing/>
        <w:jc w:val="both"/>
        <w:rPr>
          <w:rFonts w:ascii="Arial" w:hAnsi="Arial"/>
        </w:rPr>
      </w:pPr>
    </w:p>
    <w:p w:rsidR="007A687B" w:rsidRDefault="007A687B" w:rsidP="000E0368">
      <w:pPr>
        <w:spacing w:after="0" w:line="240" w:lineRule="auto"/>
        <w:contextualSpacing/>
        <w:jc w:val="both"/>
        <w:rPr>
          <w:rFonts w:ascii="Arial" w:hAnsi="Arial"/>
        </w:rPr>
      </w:pPr>
      <w:r>
        <w:rPr>
          <w:rFonts w:ascii="Arial" w:hAnsi="Arial"/>
        </w:rPr>
        <w:t>The purpose of this funding is to compensate schools for the additional costs they face in accessing goods and services required to operate the school and</w:t>
      </w:r>
      <w:r w:rsidR="001A1429">
        <w:rPr>
          <w:rFonts w:ascii="Arial" w:hAnsi="Arial"/>
        </w:rPr>
        <w:t xml:space="preserve"> in</w:t>
      </w:r>
      <w:r>
        <w:rPr>
          <w:rFonts w:ascii="Arial" w:hAnsi="Arial"/>
        </w:rPr>
        <w:t xml:space="preserve"> deliver</w:t>
      </w:r>
      <w:r w:rsidR="00BF3246">
        <w:rPr>
          <w:rFonts w:ascii="Arial" w:hAnsi="Arial"/>
        </w:rPr>
        <w:t>ing</w:t>
      </w:r>
      <w:r>
        <w:rPr>
          <w:rFonts w:ascii="Arial" w:hAnsi="Arial"/>
        </w:rPr>
        <w:t xml:space="preserve"> the curricula</w:t>
      </w:r>
      <w:r w:rsidR="00BF3246">
        <w:rPr>
          <w:rFonts w:ascii="Arial" w:hAnsi="Arial"/>
        </w:rPr>
        <w:t xml:space="preserve"> because of their isolated location</w:t>
      </w:r>
      <w:r>
        <w:rPr>
          <w:rFonts w:ascii="Arial" w:hAnsi="Arial"/>
        </w:rPr>
        <w:t xml:space="preserve">. </w:t>
      </w:r>
      <w:r w:rsidRPr="008E6D10">
        <w:rPr>
          <w:rFonts w:ascii="Arial" w:hAnsi="Arial"/>
        </w:rPr>
        <w:t>These costs can be broadly grouped under two categories: costs relat</w:t>
      </w:r>
      <w:r w:rsidR="004678DB">
        <w:rPr>
          <w:rFonts w:ascii="Arial" w:hAnsi="Arial"/>
        </w:rPr>
        <w:t>ed</w:t>
      </w:r>
      <w:r w:rsidRPr="008E6D10">
        <w:rPr>
          <w:rFonts w:ascii="Arial" w:hAnsi="Arial"/>
        </w:rPr>
        <w:t xml:space="preserve"> to teaching and learning and cost</w:t>
      </w:r>
      <w:r>
        <w:rPr>
          <w:rFonts w:ascii="Arial" w:hAnsi="Arial"/>
        </w:rPr>
        <w:t>s</w:t>
      </w:r>
      <w:r w:rsidRPr="008E6D10">
        <w:rPr>
          <w:rFonts w:ascii="Arial" w:hAnsi="Arial"/>
        </w:rPr>
        <w:t xml:space="preserve"> related to accessing trades and services.</w:t>
      </w:r>
    </w:p>
    <w:p w:rsidR="007A687B" w:rsidRDefault="007A687B" w:rsidP="000E0368">
      <w:pPr>
        <w:spacing w:after="0" w:line="240" w:lineRule="auto"/>
        <w:contextualSpacing/>
        <w:jc w:val="both"/>
        <w:rPr>
          <w:rFonts w:ascii="Arial" w:hAnsi="Arial"/>
        </w:rPr>
      </w:pPr>
    </w:p>
    <w:p w:rsidR="00EA65D3" w:rsidRDefault="00DA47DB" w:rsidP="000E0368">
      <w:pPr>
        <w:spacing w:after="0" w:line="240" w:lineRule="auto"/>
        <w:contextualSpacing/>
        <w:jc w:val="both"/>
        <w:rPr>
          <w:rFonts w:ascii="Arial" w:hAnsi="Arial"/>
        </w:rPr>
      </w:pPr>
      <w:r>
        <w:rPr>
          <w:rFonts w:ascii="Arial" w:hAnsi="Arial"/>
        </w:rPr>
        <w:t>The funding model for early learning</w:t>
      </w:r>
      <w:r w:rsidR="007A687B">
        <w:rPr>
          <w:rFonts w:ascii="Arial" w:hAnsi="Arial"/>
        </w:rPr>
        <w:t xml:space="preserve"> also provides specific funding for isolated services. </w:t>
      </w:r>
      <w:r w:rsidR="00EA65D3">
        <w:rPr>
          <w:rFonts w:ascii="Arial" w:hAnsi="Arial"/>
        </w:rPr>
        <w:t>This is provided through Equity Funding Component D</w:t>
      </w:r>
      <w:r w:rsidR="00D37096">
        <w:rPr>
          <w:rFonts w:ascii="Arial" w:hAnsi="Arial"/>
        </w:rPr>
        <w:t xml:space="preserve"> </w:t>
      </w:r>
      <w:r w:rsidR="00EA65D3">
        <w:rPr>
          <w:rFonts w:ascii="Arial" w:hAnsi="Arial"/>
        </w:rPr>
        <w:t xml:space="preserve">and the Annual Top Up for Isolated </w:t>
      </w:r>
      <w:r w:rsidR="00EA65D3" w:rsidRPr="00EA65D3">
        <w:rPr>
          <w:rFonts w:ascii="Arial" w:hAnsi="Arial" w:cs="Arial"/>
        </w:rPr>
        <w:t>Services (ATIS).</w:t>
      </w:r>
      <w:r w:rsidR="007A687B">
        <w:rPr>
          <w:rFonts w:ascii="Arial" w:hAnsi="Arial"/>
        </w:rPr>
        <w:t xml:space="preserve"> </w:t>
      </w:r>
    </w:p>
    <w:p w:rsidR="00EA65D3" w:rsidRDefault="00EA65D3" w:rsidP="000E0368">
      <w:pPr>
        <w:spacing w:after="0" w:line="240" w:lineRule="auto"/>
        <w:contextualSpacing/>
        <w:jc w:val="both"/>
        <w:rPr>
          <w:rFonts w:ascii="Arial" w:hAnsi="Arial"/>
        </w:rPr>
      </w:pPr>
    </w:p>
    <w:p w:rsidR="00BF3246" w:rsidRDefault="00B835AE" w:rsidP="000E0368">
      <w:pPr>
        <w:spacing w:after="0" w:line="240" w:lineRule="auto"/>
        <w:contextualSpacing/>
        <w:jc w:val="both"/>
        <w:rPr>
          <w:rFonts w:ascii="Arial" w:hAnsi="Arial"/>
        </w:rPr>
      </w:pPr>
      <w:r>
        <w:rPr>
          <w:rFonts w:ascii="Arial" w:hAnsi="Arial"/>
        </w:rPr>
        <w:t>In the case of early learning</w:t>
      </w:r>
      <w:r w:rsidR="00D37096">
        <w:rPr>
          <w:rFonts w:ascii="Arial" w:hAnsi="Arial"/>
        </w:rPr>
        <w:t>,</w:t>
      </w:r>
      <w:r w:rsidR="00EA65D3">
        <w:rPr>
          <w:rFonts w:ascii="Arial" w:hAnsi="Arial"/>
        </w:rPr>
        <w:t xml:space="preserve"> funding </w:t>
      </w:r>
      <w:r w:rsidR="00D37096">
        <w:rPr>
          <w:rFonts w:ascii="Arial" w:hAnsi="Arial"/>
        </w:rPr>
        <w:t xml:space="preserve">for isolation has </w:t>
      </w:r>
      <w:r w:rsidR="00BF3246">
        <w:rPr>
          <w:rFonts w:ascii="Arial" w:hAnsi="Arial"/>
        </w:rPr>
        <w:t xml:space="preserve">a </w:t>
      </w:r>
      <w:r w:rsidR="00D37096">
        <w:rPr>
          <w:rFonts w:ascii="Arial" w:hAnsi="Arial"/>
        </w:rPr>
        <w:t xml:space="preserve">somewhat </w:t>
      </w:r>
      <w:r w:rsidR="00EB5AD0">
        <w:rPr>
          <w:rFonts w:ascii="Arial" w:hAnsi="Arial"/>
        </w:rPr>
        <w:t xml:space="preserve">broader purpose. </w:t>
      </w:r>
      <w:r w:rsidR="00EA65D3">
        <w:rPr>
          <w:rFonts w:ascii="Arial" w:hAnsi="Arial"/>
        </w:rPr>
        <w:t>Like schools, it compensates services for additional costs they face as a result of isolation. It al</w:t>
      </w:r>
      <w:r>
        <w:rPr>
          <w:rFonts w:ascii="Arial" w:hAnsi="Arial"/>
        </w:rPr>
        <w:t>so supports participation in early learning</w:t>
      </w:r>
      <w:r w:rsidR="00EA65D3">
        <w:rPr>
          <w:rFonts w:ascii="Arial" w:hAnsi="Arial"/>
        </w:rPr>
        <w:t xml:space="preserve"> where small populations</w:t>
      </w:r>
      <w:r w:rsidR="00EB5AD0">
        <w:rPr>
          <w:rFonts w:ascii="Arial" w:hAnsi="Arial"/>
        </w:rPr>
        <w:t>,</w:t>
      </w:r>
      <w:r w:rsidR="00EA65D3">
        <w:rPr>
          <w:rFonts w:ascii="Arial" w:hAnsi="Arial"/>
        </w:rPr>
        <w:t xml:space="preserve"> and the fact that </w:t>
      </w:r>
      <w:r>
        <w:rPr>
          <w:rFonts w:ascii="Arial" w:hAnsi="Arial"/>
        </w:rPr>
        <w:t xml:space="preserve">early learning </w:t>
      </w:r>
      <w:r w:rsidR="00EA65D3">
        <w:rPr>
          <w:rFonts w:ascii="Arial" w:hAnsi="Arial"/>
        </w:rPr>
        <w:t>is not compulsory</w:t>
      </w:r>
      <w:r w:rsidR="00EB5AD0">
        <w:rPr>
          <w:rFonts w:ascii="Arial" w:hAnsi="Arial"/>
        </w:rPr>
        <w:t>,</w:t>
      </w:r>
      <w:r w:rsidR="00EA65D3">
        <w:rPr>
          <w:rFonts w:ascii="Arial" w:hAnsi="Arial"/>
        </w:rPr>
        <w:t xml:space="preserve"> have a significant impact on the viability of provision.</w:t>
      </w:r>
    </w:p>
    <w:p w:rsidR="00BF3246" w:rsidRDefault="00BF3246" w:rsidP="000E0368">
      <w:pPr>
        <w:spacing w:after="0" w:line="240" w:lineRule="auto"/>
        <w:contextualSpacing/>
        <w:jc w:val="both"/>
        <w:rPr>
          <w:rFonts w:ascii="Arial" w:hAnsi="Arial"/>
        </w:rPr>
      </w:pPr>
    </w:p>
    <w:p w:rsidR="00EA65D3" w:rsidRDefault="00D37096" w:rsidP="000E0368">
      <w:pPr>
        <w:spacing w:after="0" w:line="240" w:lineRule="auto"/>
        <w:contextualSpacing/>
        <w:jc w:val="both"/>
        <w:rPr>
          <w:rFonts w:ascii="Arial" w:hAnsi="Arial"/>
        </w:rPr>
      </w:pPr>
      <w:r>
        <w:rPr>
          <w:rFonts w:ascii="Arial" w:hAnsi="Arial"/>
        </w:rPr>
        <w:t>In the schooling sector</w:t>
      </w:r>
      <w:r w:rsidR="00EB5AD0">
        <w:rPr>
          <w:rFonts w:ascii="Arial" w:hAnsi="Arial"/>
        </w:rPr>
        <w:t>,</w:t>
      </w:r>
      <w:r>
        <w:rPr>
          <w:rFonts w:ascii="Arial" w:hAnsi="Arial"/>
        </w:rPr>
        <w:t xml:space="preserve"> specific funding is provided to address </w:t>
      </w:r>
      <w:r w:rsidR="00EB5AD0">
        <w:rPr>
          <w:rFonts w:ascii="Arial" w:hAnsi="Arial"/>
        </w:rPr>
        <w:t>costs associated with</w:t>
      </w:r>
      <w:r>
        <w:rPr>
          <w:rFonts w:ascii="Arial" w:hAnsi="Arial"/>
        </w:rPr>
        <w:t xml:space="preserve"> small size.</w:t>
      </w:r>
    </w:p>
    <w:p w:rsidR="000E0368" w:rsidRPr="008F3660" w:rsidRDefault="000E0368" w:rsidP="000E0368">
      <w:pPr>
        <w:spacing w:after="0" w:line="240" w:lineRule="auto"/>
        <w:contextualSpacing/>
        <w:jc w:val="both"/>
        <w:rPr>
          <w:rFonts w:ascii="Arial" w:hAnsi="Arial"/>
        </w:rPr>
      </w:pPr>
    </w:p>
    <w:p w:rsidR="00BE685D" w:rsidRDefault="002A7C4E" w:rsidP="000E0368">
      <w:pPr>
        <w:pStyle w:val="BlueSubheading3"/>
        <w:spacing w:before="0" w:after="0"/>
        <w:rPr>
          <w:sz w:val="24"/>
        </w:rPr>
      </w:pPr>
      <w:r>
        <w:rPr>
          <w:sz w:val="24"/>
        </w:rPr>
        <w:t>How f</w:t>
      </w:r>
      <w:r w:rsidR="00BE685D" w:rsidRPr="00BE685D">
        <w:rPr>
          <w:sz w:val="24"/>
        </w:rPr>
        <w:t>unding</w:t>
      </w:r>
      <w:r>
        <w:rPr>
          <w:sz w:val="24"/>
        </w:rPr>
        <w:t xml:space="preserve"> for i</w:t>
      </w:r>
      <w:r w:rsidR="00BE685D">
        <w:rPr>
          <w:sz w:val="24"/>
        </w:rPr>
        <w:t>solation</w:t>
      </w:r>
      <w:r w:rsidR="00BE685D" w:rsidRPr="00BE685D">
        <w:rPr>
          <w:sz w:val="24"/>
        </w:rPr>
        <w:t xml:space="preserve"> is calculated</w:t>
      </w:r>
    </w:p>
    <w:p w:rsidR="000E0368" w:rsidRPr="008F3660" w:rsidRDefault="000E0368" w:rsidP="000E0368">
      <w:pPr>
        <w:pStyle w:val="BlueSubheading3"/>
        <w:spacing w:before="0" w:after="0"/>
        <w:rPr>
          <w:sz w:val="22"/>
        </w:rPr>
      </w:pPr>
    </w:p>
    <w:p w:rsidR="00BE685D" w:rsidRDefault="00B835AE" w:rsidP="000E0368">
      <w:pPr>
        <w:pStyle w:val="MoENumberedList"/>
        <w:numPr>
          <w:ilvl w:val="0"/>
          <w:numId w:val="0"/>
        </w:numPr>
        <w:spacing w:after="0"/>
        <w:jc w:val="both"/>
        <w:rPr>
          <w:sz w:val="22"/>
        </w:rPr>
      </w:pPr>
      <w:r>
        <w:rPr>
          <w:sz w:val="22"/>
        </w:rPr>
        <w:t>Schools and</w:t>
      </w:r>
      <w:r w:rsidR="00BE685D" w:rsidRPr="00996A4A">
        <w:rPr>
          <w:sz w:val="22"/>
        </w:rPr>
        <w:t xml:space="preserve"> </w:t>
      </w:r>
      <w:r w:rsidRPr="00B835AE">
        <w:rPr>
          <w:sz w:val="22"/>
        </w:rPr>
        <w:t xml:space="preserve">early learning </w:t>
      </w:r>
      <w:r w:rsidR="00BE685D" w:rsidRPr="00996A4A">
        <w:rPr>
          <w:sz w:val="22"/>
        </w:rPr>
        <w:t>services receive funding for isolation if thei</w:t>
      </w:r>
      <w:r w:rsidR="008E7C52">
        <w:rPr>
          <w:sz w:val="22"/>
        </w:rPr>
        <w:t>r isolation index rating is 1.6</w:t>
      </w:r>
      <w:r w:rsidR="004678DB">
        <w:rPr>
          <w:sz w:val="22"/>
        </w:rPr>
        <w:t>5</w:t>
      </w:r>
      <w:r w:rsidR="00BE685D" w:rsidRPr="00996A4A">
        <w:rPr>
          <w:sz w:val="22"/>
        </w:rPr>
        <w:t xml:space="preserve"> or greater. The isolation index is calculated by a weig</w:t>
      </w:r>
      <w:r w:rsidR="00BE685D">
        <w:rPr>
          <w:sz w:val="22"/>
        </w:rPr>
        <w:t xml:space="preserve">hted formula developed in 1999, which is calculated by reference to distance from population centres of 5,000, 20,000 and 100,000.  </w:t>
      </w:r>
    </w:p>
    <w:p w:rsidR="00BE685D" w:rsidRDefault="00BE685D" w:rsidP="00BE685D">
      <w:pPr>
        <w:pStyle w:val="MoENumberedList"/>
        <w:numPr>
          <w:ilvl w:val="0"/>
          <w:numId w:val="0"/>
        </w:numPr>
        <w:spacing w:after="160"/>
        <w:jc w:val="both"/>
        <w:rPr>
          <w:sz w:val="22"/>
        </w:rPr>
      </w:pPr>
    </w:p>
    <w:p w:rsidR="0097567E" w:rsidRPr="0097567E" w:rsidRDefault="004678DB" w:rsidP="00726978">
      <w:pPr>
        <w:pStyle w:val="MoENumberedList"/>
        <w:numPr>
          <w:ilvl w:val="0"/>
          <w:numId w:val="0"/>
        </w:numPr>
        <w:spacing w:after="0"/>
        <w:jc w:val="both"/>
        <w:rPr>
          <w:sz w:val="22"/>
        </w:rPr>
      </w:pPr>
      <w:r w:rsidRPr="0097567E">
        <w:rPr>
          <w:sz w:val="22"/>
        </w:rPr>
        <w:t>The isolation index has been used to allocate travel grants across Communities of Learning</w:t>
      </w:r>
      <w:r>
        <w:rPr>
          <w:sz w:val="22"/>
        </w:rPr>
        <w:t xml:space="preserve"> and for Resource Teachers Learning and Behaviour (RTLBs)</w:t>
      </w:r>
      <w:r w:rsidRPr="0097567E">
        <w:rPr>
          <w:sz w:val="22"/>
        </w:rPr>
        <w:t>.</w:t>
      </w:r>
      <w:r>
        <w:rPr>
          <w:sz w:val="22"/>
        </w:rPr>
        <w:t xml:space="preserve"> </w:t>
      </w:r>
      <w:r w:rsidR="00BE685D" w:rsidRPr="0097567E">
        <w:rPr>
          <w:sz w:val="22"/>
        </w:rPr>
        <w:t xml:space="preserve">Other policies also refer to isolation, with different methodologies for determining </w:t>
      </w:r>
      <w:r w:rsidR="00B835AE" w:rsidRPr="00B835AE">
        <w:rPr>
          <w:sz w:val="22"/>
        </w:rPr>
        <w:t>early learning</w:t>
      </w:r>
      <w:r w:rsidR="00BF3246" w:rsidRPr="0097567E">
        <w:rPr>
          <w:sz w:val="22"/>
        </w:rPr>
        <w:t xml:space="preserve"> services and schools </w:t>
      </w:r>
      <w:r w:rsidR="00BE685D" w:rsidRPr="0097567E">
        <w:rPr>
          <w:sz w:val="22"/>
        </w:rPr>
        <w:t>that are isolated</w:t>
      </w:r>
      <w:r w:rsidR="00DC76FF" w:rsidRPr="00B83A0D">
        <w:rPr>
          <w:rStyle w:val="FootnoteReference"/>
          <w:sz w:val="22"/>
        </w:rPr>
        <w:footnoteReference w:id="1"/>
      </w:r>
      <w:r w:rsidR="00BE685D" w:rsidRPr="0097567E">
        <w:rPr>
          <w:sz w:val="22"/>
        </w:rPr>
        <w:t xml:space="preserve">. </w:t>
      </w:r>
    </w:p>
    <w:p w:rsidR="00BE685D" w:rsidRPr="00726978" w:rsidRDefault="00BE685D" w:rsidP="00726978">
      <w:pPr>
        <w:pStyle w:val="MoENumberedList"/>
        <w:numPr>
          <w:ilvl w:val="0"/>
          <w:numId w:val="0"/>
        </w:numPr>
        <w:spacing w:after="0"/>
        <w:jc w:val="both"/>
        <w:rPr>
          <w:sz w:val="24"/>
          <w:szCs w:val="24"/>
        </w:rPr>
      </w:pPr>
    </w:p>
    <w:p w:rsidR="00BE685D" w:rsidRDefault="00BE685D" w:rsidP="00726978">
      <w:pPr>
        <w:pStyle w:val="BlueSubheading3"/>
        <w:spacing w:before="0" w:after="0"/>
        <w:rPr>
          <w:sz w:val="24"/>
        </w:rPr>
      </w:pPr>
      <w:r>
        <w:rPr>
          <w:sz w:val="24"/>
        </w:rPr>
        <w:t>The significance of funding for isolation</w:t>
      </w:r>
    </w:p>
    <w:p w:rsidR="00726978" w:rsidRPr="00726978" w:rsidRDefault="00726978" w:rsidP="00726978">
      <w:pPr>
        <w:pStyle w:val="BlueSubheading3"/>
        <w:spacing w:before="0" w:after="0"/>
        <w:rPr>
          <w:szCs w:val="20"/>
        </w:rPr>
      </w:pPr>
    </w:p>
    <w:p w:rsidR="00BF3246" w:rsidRDefault="008E6D10" w:rsidP="00726978">
      <w:pPr>
        <w:pStyle w:val="MoENumberedList"/>
        <w:numPr>
          <w:ilvl w:val="0"/>
          <w:numId w:val="0"/>
        </w:numPr>
        <w:spacing w:after="0"/>
        <w:jc w:val="both"/>
        <w:rPr>
          <w:sz w:val="22"/>
        </w:rPr>
      </w:pPr>
      <w:r w:rsidRPr="00996A4A">
        <w:rPr>
          <w:sz w:val="22"/>
        </w:rPr>
        <w:t>Funding for isolation is more significant in the school sector, compa</w:t>
      </w:r>
      <w:r>
        <w:rPr>
          <w:sz w:val="22"/>
        </w:rPr>
        <w:t xml:space="preserve">red with </w:t>
      </w:r>
      <w:r w:rsidR="00B835AE" w:rsidRPr="00B835AE">
        <w:rPr>
          <w:sz w:val="22"/>
        </w:rPr>
        <w:t>early learning</w:t>
      </w:r>
      <w:r w:rsidR="00BE685D">
        <w:rPr>
          <w:sz w:val="22"/>
        </w:rPr>
        <w:t xml:space="preserve">.  </w:t>
      </w:r>
    </w:p>
    <w:p w:rsidR="00BF3246" w:rsidRDefault="00BF3246" w:rsidP="00726978">
      <w:pPr>
        <w:pStyle w:val="MoENumberedList"/>
        <w:numPr>
          <w:ilvl w:val="0"/>
          <w:numId w:val="0"/>
        </w:numPr>
        <w:spacing w:after="0"/>
        <w:jc w:val="both"/>
        <w:rPr>
          <w:sz w:val="22"/>
        </w:rPr>
      </w:pPr>
    </w:p>
    <w:p w:rsidR="008E6D10" w:rsidRDefault="00BE685D" w:rsidP="00726978">
      <w:pPr>
        <w:pStyle w:val="MoENumberedList"/>
        <w:numPr>
          <w:ilvl w:val="0"/>
          <w:numId w:val="0"/>
        </w:numPr>
        <w:spacing w:after="0"/>
        <w:jc w:val="both"/>
        <w:rPr>
          <w:rFonts w:cs="Arial"/>
          <w:sz w:val="22"/>
        </w:rPr>
      </w:pPr>
      <w:r>
        <w:rPr>
          <w:sz w:val="22"/>
        </w:rPr>
        <w:t>In the school sector, Targeted Funding for Isolation account</w:t>
      </w:r>
      <w:r w:rsidR="00005464">
        <w:rPr>
          <w:sz w:val="22"/>
        </w:rPr>
        <w:t>ed</w:t>
      </w:r>
      <w:r>
        <w:rPr>
          <w:sz w:val="22"/>
        </w:rPr>
        <w:t xml:space="preserve"> for </w:t>
      </w:r>
      <w:r w:rsidR="00BF394D" w:rsidRPr="00BF394D">
        <w:rPr>
          <w:sz w:val="22"/>
        </w:rPr>
        <w:t>0.6</w:t>
      </w:r>
      <w:r w:rsidR="00003CBF">
        <w:rPr>
          <w:sz w:val="22"/>
        </w:rPr>
        <w:t>%</w:t>
      </w:r>
      <w:r>
        <w:rPr>
          <w:sz w:val="22"/>
        </w:rPr>
        <w:t xml:space="preserve"> of schools</w:t>
      </w:r>
      <w:r w:rsidR="004678DB">
        <w:rPr>
          <w:sz w:val="22"/>
        </w:rPr>
        <w:t>’</w:t>
      </w:r>
      <w:r>
        <w:rPr>
          <w:sz w:val="22"/>
        </w:rPr>
        <w:t xml:space="preserve"> operational</w:t>
      </w:r>
      <w:r w:rsidR="00005464">
        <w:rPr>
          <w:sz w:val="22"/>
        </w:rPr>
        <w:t xml:space="preserve"> grant funding and approximately</w:t>
      </w:r>
      <w:r w:rsidR="00003CBF">
        <w:rPr>
          <w:sz w:val="22"/>
        </w:rPr>
        <w:t xml:space="preserve"> </w:t>
      </w:r>
      <w:r w:rsidR="00D4354E">
        <w:rPr>
          <w:sz w:val="22"/>
        </w:rPr>
        <w:t>0.16</w:t>
      </w:r>
      <w:r w:rsidR="00003CBF">
        <w:rPr>
          <w:sz w:val="22"/>
        </w:rPr>
        <w:t xml:space="preserve">% </w:t>
      </w:r>
      <w:r w:rsidR="00005464">
        <w:rPr>
          <w:sz w:val="22"/>
        </w:rPr>
        <w:t xml:space="preserve">of total funding in </w:t>
      </w:r>
      <w:r w:rsidR="00D4354E">
        <w:rPr>
          <w:sz w:val="22"/>
        </w:rPr>
        <w:t>2015</w:t>
      </w:r>
      <w:r w:rsidR="00BF3246">
        <w:rPr>
          <w:rStyle w:val="FootnoteReference"/>
          <w:sz w:val="22"/>
        </w:rPr>
        <w:footnoteReference w:id="2"/>
      </w:r>
      <w:r w:rsidR="00005464">
        <w:rPr>
          <w:sz w:val="22"/>
        </w:rPr>
        <w:t xml:space="preserve">. </w:t>
      </w:r>
      <w:r w:rsidR="00005464" w:rsidRPr="00005464">
        <w:rPr>
          <w:sz w:val="22"/>
        </w:rPr>
        <w:t xml:space="preserve">In the </w:t>
      </w:r>
      <w:r w:rsidR="00B835AE" w:rsidRPr="00B835AE">
        <w:rPr>
          <w:sz w:val="22"/>
        </w:rPr>
        <w:t>early learning</w:t>
      </w:r>
      <w:r w:rsidR="00005464" w:rsidRPr="00005464">
        <w:rPr>
          <w:sz w:val="22"/>
        </w:rPr>
        <w:t xml:space="preserve"> sector</w:t>
      </w:r>
      <w:r w:rsidR="004678DB">
        <w:rPr>
          <w:sz w:val="22"/>
        </w:rPr>
        <w:t>,</w:t>
      </w:r>
      <w:r w:rsidR="00005464" w:rsidRPr="00005464">
        <w:rPr>
          <w:sz w:val="22"/>
        </w:rPr>
        <w:t xml:space="preserve"> </w:t>
      </w:r>
      <w:r w:rsidR="00005464" w:rsidRPr="00005464">
        <w:rPr>
          <w:rFonts w:cs="Arial"/>
          <w:sz w:val="22"/>
        </w:rPr>
        <w:t>funding for isolation comprises only 0.07</w:t>
      </w:r>
      <w:r w:rsidR="00003CBF">
        <w:rPr>
          <w:rFonts w:cs="Arial"/>
          <w:sz w:val="22"/>
        </w:rPr>
        <w:t>%</w:t>
      </w:r>
      <w:r w:rsidR="00005464" w:rsidRPr="00005464">
        <w:rPr>
          <w:rFonts w:cs="Arial"/>
          <w:sz w:val="22"/>
        </w:rPr>
        <w:t xml:space="preserve"> of total </w:t>
      </w:r>
      <w:r w:rsidR="00BF3246">
        <w:rPr>
          <w:rFonts w:cs="Arial"/>
          <w:sz w:val="22"/>
        </w:rPr>
        <w:t>g</w:t>
      </w:r>
      <w:r w:rsidR="00005464" w:rsidRPr="00005464">
        <w:rPr>
          <w:rFonts w:cs="Arial"/>
          <w:sz w:val="22"/>
        </w:rPr>
        <w:t xml:space="preserve">overnment expenditure on </w:t>
      </w:r>
      <w:r w:rsidR="00B835AE" w:rsidRPr="00B835AE">
        <w:rPr>
          <w:rFonts w:cs="Arial"/>
          <w:sz w:val="22"/>
        </w:rPr>
        <w:t>early learning</w:t>
      </w:r>
      <w:r w:rsidR="00005464" w:rsidRPr="00005464">
        <w:rPr>
          <w:rFonts w:cs="Arial"/>
          <w:sz w:val="22"/>
        </w:rPr>
        <w:t>.</w:t>
      </w:r>
    </w:p>
    <w:p w:rsidR="008E6D10" w:rsidRPr="00726978" w:rsidRDefault="008E6D10" w:rsidP="008E6D10">
      <w:pPr>
        <w:pStyle w:val="MoENumberedList"/>
        <w:numPr>
          <w:ilvl w:val="0"/>
          <w:numId w:val="0"/>
        </w:numPr>
        <w:spacing w:after="0"/>
        <w:ind w:left="360"/>
        <w:jc w:val="both"/>
        <w:rPr>
          <w:rFonts w:cs="Arial"/>
          <w:sz w:val="24"/>
          <w:szCs w:val="24"/>
        </w:rPr>
      </w:pPr>
    </w:p>
    <w:p w:rsidR="008E6D10" w:rsidRDefault="00015922" w:rsidP="003A16EE">
      <w:pPr>
        <w:pStyle w:val="MoENumberedList"/>
        <w:numPr>
          <w:ilvl w:val="0"/>
          <w:numId w:val="0"/>
        </w:numPr>
        <w:spacing w:after="0"/>
        <w:ind w:left="360" w:hanging="360"/>
        <w:jc w:val="center"/>
        <w:rPr>
          <w:rFonts w:cs="Arial"/>
          <w:b/>
        </w:rPr>
      </w:pPr>
      <w:r>
        <w:rPr>
          <w:rFonts w:cs="Arial"/>
          <w:b/>
        </w:rPr>
        <w:t>Table 1</w:t>
      </w:r>
      <w:r w:rsidR="008E6D10" w:rsidRPr="00996A4A">
        <w:rPr>
          <w:rFonts w:cs="Arial"/>
          <w:b/>
        </w:rPr>
        <w:t>: Funding for isolation across schooling and</w:t>
      </w:r>
      <w:r w:rsidR="00B835AE" w:rsidRPr="00B835AE">
        <w:rPr>
          <w:sz w:val="22"/>
        </w:rPr>
        <w:t xml:space="preserve"> </w:t>
      </w:r>
      <w:r w:rsidR="00B835AE" w:rsidRPr="00B835AE">
        <w:rPr>
          <w:rFonts w:cs="Arial"/>
          <w:b/>
        </w:rPr>
        <w:t>early learning</w:t>
      </w:r>
    </w:p>
    <w:p w:rsidR="00726978" w:rsidRPr="00996A4A" w:rsidRDefault="00726978" w:rsidP="00726978">
      <w:pPr>
        <w:pStyle w:val="MoENumberedList"/>
        <w:numPr>
          <w:ilvl w:val="0"/>
          <w:numId w:val="0"/>
        </w:numPr>
        <w:spacing w:after="0"/>
        <w:ind w:left="360" w:hanging="360"/>
        <w:rPr>
          <w:rFonts w:cs="Arial"/>
          <w:b/>
        </w:rPr>
      </w:pPr>
    </w:p>
    <w:tbl>
      <w:tblPr>
        <w:tblStyle w:val="FiveGoals"/>
        <w:tblW w:w="8354" w:type="dxa"/>
        <w:jc w:val="center"/>
        <w:tblInd w:w="628" w:type="dxa"/>
        <w:tblLook w:val="04A0"/>
      </w:tblPr>
      <w:tblGrid>
        <w:gridCol w:w="3473"/>
        <w:gridCol w:w="2299"/>
        <w:gridCol w:w="2582"/>
      </w:tblGrid>
      <w:tr w:rsidR="008E6D10" w:rsidRPr="00657987" w:rsidTr="00726978">
        <w:trPr>
          <w:cnfStyle w:val="100000000000"/>
          <w:jc w:val="center"/>
        </w:trPr>
        <w:tc>
          <w:tcPr>
            <w:cnfStyle w:val="001000000000"/>
            <w:tcW w:w="3473" w:type="dxa"/>
            <w:vAlign w:val="center"/>
          </w:tcPr>
          <w:p w:rsidR="008E6D10" w:rsidRPr="008E6D10" w:rsidRDefault="008E6D10" w:rsidP="008E6D10">
            <w:pPr>
              <w:pStyle w:val="MoEBodyText"/>
              <w:spacing w:before="0" w:after="0" w:line="240" w:lineRule="auto"/>
              <w:jc w:val="center"/>
              <w:rPr>
                <w:rFonts w:eastAsia="Times New Roman" w:cs="Arial"/>
              </w:rPr>
            </w:pPr>
            <w:r w:rsidRPr="008E6D10">
              <w:rPr>
                <w:rFonts w:eastAsia="Times New Roman" w:cs="Arial"/>
              </w:rPr>
              <w:t>Funding component</w:t>
            </w:r>
          </w:p>
        </w:tc>
        <w:tc>
          <w:tcPr>
            <w:tcW w:w="2299" w:type="dxa"/>
            <w:vAlign w:val="center"/>
          </w:tcPr>
          <w:p w:rsidR="008E6D10" w:rsidRPr="008E6D10" w:rsidRDefault="008E6D10" w:rsidP="008E6D10">
            <w:pPr>
              <w:pStyle w:val="MoEBodyText"/>
              <w:spacing w:before="0" w:after="0" w:line="240" w:lineRule="auto"/>
              <w:jc w:val="center"/>
              <w:cnfStyle w:val="100000000000"/>
              <w:rPr>
                <w:rFonts w:eastAsia="Times New Roman" w:cs="Arial"/>
              </w:rPr>
            </w:pPr>
            <w:r w:rsidRPr="008E6D10">
              <w:rPr>
                <w:rFonts w:eastAsia="Times New Roman" w:cs="Arial"/>
              </w:rPr>
              <w:t>Number of schools/services</w:t>
            </w:r>
          </w:p>
        </w:tc>
        <w:tc>
          <w:tcPr>
            <w:tcW w:w="2582" w:type="dxa"/>
            <w:vAlign w:val="center"/>
          </w:tcPr>
          <w:p w:rsidR="008E6D10" w:rsidRPr="008E6D10" w:rsidRDefault="008E6D10" w:rsidP="008E6D10">
            <w:pPr>
              <w:pStyle w:val="MoEBodyText"/>
              <w:spacing w:before="0" w:after="0" w:line="240" w:lineRule="auto"/>
              <w:jc w:val="center"/>
              <w:cnfStyle w:val="100000000000"/>
              <w:rPr>
                <w:rFonts w:eastAsia="Times New Roman" w:cs="Arial"/>
              </w:rPr>
            </w:pPr>
            <w:r w:rsidRPr="008E6D10">
              <w:rPr>
                <w:rFonts w:eastAsia="Times New Roman" w:cs="Arial"/>
              </w:rPr>
              <w:t>Cost (GST exclusive)</w:t>
            </w:r>
          </w:p>
        </w:tc>
      </w:tr>
      <w:tr w:rsidR="008E6D10" w:rsidRPr="002F1C45" w:rsidTr="00726978">
        <w:trPr>
          <w:jc w:val="center"/>
        </w:trPr>
        <w:tc>
          <w:tcPr>
            <w:cnfStyle w:val="001000000000"/>
            <w:tcW w:w="3473" w:type="dxa"/>
          </w:tcPr>
          <w:p w:rsidR="008E6D10" w:rsidRPr="00657987" w:rsidRDefault="008E6D10" w:rsidP="00221BF8">
            <w:pPr>
              <w:pStyle w:val="MoEBodyText"/>
              <w:spacing w:before="0" w:after="120" w:line="240" w:lineRule="auto"/>
              <w:ind w:left="0"/>
              <w:rPr>
                <w:rFonts w:eastAsia="Times New Roman" w:cs="Arial"/>
                <w:b w:val="0"/>
                <w:color w:val="auto"/>
              </w:rPr>
            </w:pPr>
            <w:r w:rsidRPr="00657987">
              <w:rPr>
                <w:rFonts w:eastAsia="Times New Roman" w:cs="Arial"/>
                <w:b w:val="0"/>
                <w:color w:val="auto"/>
              </w:rPr>
              <w:t>T</w:t>
            </w:r>
            <w:r w:rsidR="00B835AE">
              <w:rPr>
                <w:rFonts w:eastAsia="Times New Roman" w:cs="Arial"/>
                <w:b w:val="0"/>
                <w:color w:val="auto"/>
              </w:rPr>
              <w:t>argeted Funding for Isolation (s</w:t>
            </w:r>
            <w:r w:rsidRPr="00657987">
              <w:rPr>
                <w:rFonts w:eastAsia="Times New Roman" w:cs="Arial"/>
                <w:b w:val="0"/>
                <w:color w:val="auto"/>
              </w:rPr>
              <w:t>chooling)</w:t>
            </w:r>
          </w:p>
        </w:tc>
        <w:tc>
          <w:tcPr>
            <w:tcW w:w="2299" w:type="dxa"/>
            <w:vAlign w:val="center"/>
          </w:tcPr>
          <w:p w:rsidR="008E6D10" w:rsidRPr="002F1C45" w:rsidRDefault="003A6F13" w:rsidP="0063740D">
            <w:pPr>
              <w:pStyle w:val="MoEBodyText"/>
              <w:spacing w:before="0" w:after="120" w:line="240" w:lineRule="auto"/>
              <w:jc w:val="center"/>
              <w:cnfStyle w:val="000000000000"/>
              <w:rPr>
                <w:rFonts w:eastAsia="Times New Roman" w:cs="Arial"/>
              </w:rPr>
            </w:pPr>
            <w:r>
              <w:rPr>
                <w:rFonts w:eastAsia="Times New Roman" w:cs="Arial"/>
              </w:rPr>
              <w:t xml:space="preserve">478 </w:t>
            </w:r>
            <w:r w:rsidR="008E6D10">
              <w:rPr>
                <w:rFonts w:eastAsia="Times New Roman" w:cs="Arial"/>
              </w:rPr>
              <w:t>schools</w:t>
            </w:r>
          </w:p>
        </w:tc>
        <w:tc>
          <w:tcPr>
            <w:tcW w:w="2582" w:type="dxa"/>
            <w:vAlign w:val="center"/>
          </w:tcPr>
          <w:p w:rsidR="008E6D10" w:rsidRPr="002F1C45" w:rsidRDefault="008E6D10" w:rsidP="00D4354E">
            <w:pPr>
              <w:pStyle w:val="MoEBodyText"/>
              <w:spacing w:before="0" w:after="120" w:line="240" w:lineRule="auto"/>
              <w:cnfStyle w:val="000000000000"/>
              <w:rPr>
                <w:rFonts w:eastAsia="Times New Roman" w:cs="Arial"/>
              </w:rPr>
            </w:pPr>
            <w:r>
              <w:rPr>
                <w:rFonts w:eastAsia="Times New Roman" w:cs="Arial"/>
              </w:rPr>
              <w:t>$8.</w:t>
            </w:r>
            <w:r w:rsidR="00D4354E">
              <w:rPr>
                <w:rFonts w:eastAsia="Times New Roman" w:cs="Arial"/>
              </w:rPr>
              <w:t xml:space="preserve">43 </w:t>
            </w:r>
            <w:r>
              <w:rPr>
                <w:rFonts w:eastAsia="Times New Roman" w:cs="Arial"/>
              </w:rPr>
              <w:t>million (201</w:t>
            </w:r>
            <w:r w:rsidR="00D4354E">
              <w:rPr>
                <w:rFonts w:eastAsia="Times New Roman" w:cs="Arial"/>
              </w:rPr>
              <w:t>5</w:t>
            </w:r>
            <w:r>
              <w:rPr>
                <w:rFonts w:eastAsia="Times New Roman" w:cs="Arial"/>
              </w:rPr>
              <w:t xml:space="preserve"> school year)</w:t>
            </w:r>
          </w:p>
        </w:tc>
      </w:tr>
      <w:tr w:rsidR="008E6D10" w:rsidRPr="002F1C45" w:rsidTr="00726978">
        <w:trPr>
          <w:jc w:val="center"/>
        </w:trPr>
        <w:tc>
          <w:tcPr>
            <w:cnfStyle w:val="001000000000"/>
            <w:tcW w:w="3473" w:type="dxa"/>
          </w:tcPr>
          <w:p w:rsidR="008E6D10" w:rsidRPr="00657987" w:rsidRDefault="008E6D10" w:rsidP="00221BF8">
            <w:pPr>
              <w:pStyle w:val="MoEBodyText"/>
              <w:spacing w:before="0" w:after="120" w:line="240" w:lineRule="auto"/>
              <w:ind w:left="0"/>
              <w:rPr>
                <w:rFonts w:eastAsia="Times New Roman" w:cs="Arial"/>
                <w:b w:val="0"/>
                <w:color w:val="auto"/>
              </w:rPr>
            </w:pPr>
            <w:r w:rsidRPr="00657987">
              <w:rPr>
                <w:rFonts w:eastAsia="Times New Roman" w:cs="Arial"/>
                <w:b w:val="0"/>
                <w:color w:val="auto"/>
              </w:rPr>
              <w:t>Equity Funding Component D (</w:t>
            </w:r>
            <w:r w:rsidR="00B835AE" w:rsidRPr="00B835AE">
              <w:rPr>
                <w:rFonts w:eastAsia="Times New Roman" w:cs="Arial"/>
                <w:b w:val="0"/>
                <w:color w:val="auto"/>
              </w:rPr>
              <w:t>early learning</w:t>
            </w:r>
            <w:r w:rsidRPr="00657987">
              <w:rPr>
                <w:rFonts w:eastAsia="Times New Roman" w:cs="Arial"/>
                <w:b w:val="0"/>
                <w:color w:val="auto"/>
              </w:rPr>
              <w:t>)</w:t>
            </w:r>
          </w:p>
        </w:tc>
        <w:tc>
          <w:tcPr>
            <w:tcW w:w="2299" w:type="dxa"/>
            <w:vAlign w:val="center"/>
          </w:tcPr>
          <w:p w:rsidR="008E6D10" w:rsidRPr="002F1C45" w:rsidRDefault="0063740D" w:rsidP="0063740D">
            <w:pPr>
              <w:pStyle w:val="MoEBodyText"/>
              <w:spacing w:before="0" w:after="120" w:line="240" w:lineRule="auto"/>
              <w:jc w:val="center"/>
              <w:cnfStyle w:val="000000000000"/>
              <w:rPr>
                <w:rFonts w:eastAsia="Times New Roman" w:cs="Arial"/>
              </w:rPr>
            </w:pPr>
            <w:r>
              <w:rPr>
                <w:rFonts w:eastAsia="Times New Roman" w:cs="Arial"/>
              </w:rPr>
              <w:t xml:space="preserve">544 </w:t>
            </w:r>
            <w:r w:rsidR="008E6D10">
              <w:rPr>
                <w:rFonts w:eastAsia="Times New Roman" w:cs="Arial"/>
              </w:rPr>
              <w:t>services</w:t>
            </w:r>
          </w:p>
        </w:tc>
        <w:tc>
          <w:tcPr>
            <w:tcW w:w="2582" w:type="dxa"/>
            <w:vAlign w:val="center"/>
          </w:tcPr>
          <w:p w:rsidR="008E6D10" w:rsidRPr="002F1C45" w:rsidRDefault="008E6D10" w:rsidP="0063740D">
            <w:pPr>
              <w:pStyle w:val="MoEBodyText"/>
              <w:spacing w:before="0" w:after="120" w:line="240" w:lineRule="auto"/>
              <w:cnfStyle w:val="000000000000"/>
              <w:rPr>
                <w:rFonts w:eastAsia="Times New Roman" w:cs="Arial"/>
              </w:rPr>
            </w:pPr>
            <w:r>
              <w:rPr>
                <w:rFonts w:eastAsia="Times New Roman" w:cs="Arial"/>
              </w:rPr>
              <w:t>$1.</w:t>
            </w:r>
            <w:r w:rsidR="0063740D">
              <w:rPr>
                <w:rFonts w:eastAsia="Times New Roman" w:cs="Arial"/>
              </w:rPr>
              <w:t xml:space="preserve">07 </w:t>
            </w:r>
            <w:r>
              <w:rPr>
                <w:rFonts w:eastAsia="Times New Roman" w:cs="Arial"/>
              </w:rPr>
              <w:t>million (201</w:t>
            </w:r>
            <w:r w:rsidR="0063740D">
              <w:rPr>
                <w:rFonts w:eastAsia="Times New Roman" w:cs="Arial"/>
              </w:rPr>
              <w:t>4</w:t>
            </w:r>
            <w:r>
              <w:rPr>
                <w:rFonts w:eastAsia="Times New Roman" w:cs="Arial"/>
              </w:rPr>
              <w:t>/1</w:t>
            </w:r>
            <w:r w:rsidR="0063740D">
              <w:rPr>
                <w:rFonts w:eastAsia="Times New Roman" w:cs="Arial"/>
              </w:rPr>
              <w:t>5</w:t>
            </w:r>
            <w:r>
              <w:rPr>
                <w:rFonts w:eastAsia="Times New Roman" w:cs="Arial"/>
              </w:rPr>
              <w:t xml:space="preserve"> financial year)</w:t>
            </w:r>
          </w:p>
        </w:tc>
      </w:tr>
      <w:tr w:rsidR="008E6D10" w:rsidRPr="002F1C45" w:rsidTr="00726978">
        <w:trPr>
          <w:jc w:val="center"/>
        </w:trPr>
        <w:tc>
          <w:tcPr>
            <w:cnfStyle w:val="001000000000"/>
            <w:tcW w:w="3473" w:type="dxa"/>
          </w:tcPr>
          <w:p w:rsidR="008E6D10" w:rsidRPr="00657987" w:rsidRDefault="008E6D10" w:rsidP="00221BF8">
            <w:pPr>
              <w:pStyle w:val="MoEBodyText"/>
              <w:spacing w:before="0" w:after="120" w:line="240" w:lineRule="auto"/>
              <w:ind w:left="0"/>
              <w:rPr>
                <w:rFonts w:eastAsia="Times New Roman" w:cs="Arial"/>
                <w:b w:val="0"/>
                <w:color w:val="auto"/>
              </w:rPr>
            </w:pPr>
            <w:r w:rsidRPr="00657987">
              <w:rPr>
                <w:rFonts w:eastAsia="Times New Roman" w:cs="Arial"/>
                <w:b w:val="0"/>
                <w:color w:val="auto"/>
              </w:rPr>
              <w:t>Annual Top Up for Isolated Services (</w:t>
            </w:r>
            <w:r w:rsidR="00B835AE" w:rsidRPr="00B835AE">
              <w:rPr>
                <w:rFonts w:eastAsia="Times New Roman" w:cs="Arial"/>
                <w:b w:val="0"/>
                <w:color w:val="auto"/>
              </w:rPr>
              <w:t>early learning</w:t>
            </w:r>
            <w:r w:rsidRPr="00657987">
              <w:rPr>
                <w:rFonts w:eastAsia="Times New Roman" w:cs="Arial"/>
                <w:b w:val="0"/>
                <w:color w:val="auto"/>
              </w:rPr>
              <w:t>)</w:t>
            </w:r>
          </w:p>
        </w:tc>
        <w:tc>
          <w:tcPr>
            <w:tcW w:w="2299" w:type="dxa"/>
            <w:vAlign w:val="center"/>
          </w:tcPr>
          <w:p w:rsidR="008E6D10" w:rsidRPr="002F1C45" w:rsidRDefault="0063740D" w:rsidP="0063740D">
            <w:pPr>
              <w:pStyle w:val="MoEBodyText"/>
              <w:spacing w:before="0" w:after="120" w:line="240" w:lineRule="auto"/>
              <w:jc w:val="center"/>
              <w:cnfStyle w:val="000000000000"/>
              <w:rPr>
                <w:rFonts w:eastAsia="Times New Roman" w:cs="Arial"/>
              </w:rPr>
            </w:pPr>
            <w:r>
              <w:rPr>
                <w:rFonts w:eastAsia="Times New Roman" w:cs="Arial"/>
              </w:rPr>
              <w:t xml:space="preserve">37 </w:t>
            </w:r>
            <w:r w:rsidR="008E6D10">
              <w:rPr>
                <w:rFonts w:eastAsia="Times New Roman" w:cs="Arial"/>
              </w:rPr>
              <w:t>services</w:t>
            </w:r>
          </w:p>
        </w:tc>
        <w:tc>
          <w:tcPr>
            <w:tcW w:w="2582" w:type="dxa"/>
            <w:vAlign w:val="center"/>
          </w:tcPr>
          <w:p w:rsidR="008E6D10" w:rsidRPr="002F1C45" w:rsidRDefault="008E6D10" w:rsidP="0063740D">
            <w:pPr>
              <w:pStyle w:val="MoEBodyText"/>
              <w:spacing w:before="0" w:after="120" w:line="240" w:lineRule="auto"/>
              <w:cnfStyle w:val="000000000000"/>
              <w:rPr>
                <w:rFonts w:eastAsia="Times New Roman" w:cs="Arial"/>
              </w:rPr>
            </w:pPr>
            <w:r>
              <w:rPr>
                <w:rFonts w:eastAsia="Times New Roman" w:cs="Arial"/>
              </w:rPr>
              <w:t>$0.1</w:t>
            </w:r>
            <w:r w:rsidR="0063740D">
              <w:rPr>
                <w:rFonts w:eastAsia="Times New Roman" w:cs="Arial"/>
              </w:rPr>
              <w:t>6</w:t>
            </w:r>
            <w:r>
              <w:rPr>
                <w:rFonts w:eastAsia="Times New Roman" w:cs="Arial"/>
              </w:rPr>
              <w:t xml:space="preserve"> million (201</w:t>
            </w:r>
            <w:r w:rsidR="0063740D">
              <w:rPr>
                <w:rFonts w:eastAsia="Times New Roman" w:cs="Arial"/>
              </w:rPr>
              <w:t>4</w:t>
            </w:r>
            <w:r>
              <w:rPr>
                <w:rFonts w:eastAsia="Times New Roman" w:cs="Arial"/>
              </w:rPr>
              <w:t>/1</w:t>
            </w:r>
            <w:r w:rsidR="0063740D">
              <w:rPr>
                <w:rFonts w:eastAsia="Times New Roman" w:cs="Arial"/>
              </w:rPr>
              <w:t>5</w:t>
            </w:r>
            <w:r>
              <w:rPr>
                <w:rFonts w:eastAsia="Times New Roman" w:cs="Arial"/>
              </w:rPr>
              <w:t xml:space="preserve"> financial year)</w:t>
            </w:r>
          </w:p>
        </w:tc>
      </w:tr>
    </w:tbl>
    <w:p w:rsidR="008E6D10" w:rsidRPr="00726978" w:rsidRDefault="008E6D10" w:rsidP="008E6D10">
      <w:pPr>
        <w:pStyle w:val="MoEBodyText"/>
        <w:spacing w:after="0" w:line="240" w:lineRule="auto"/>
        <w:jc w:val="both"/>
        <w:rPr>
          <w:rFonts w:eastAsia="Times New Roman" w:cs="Arial"/>
          <w:sz w:val="22"/>
          <w:szCs w:val="22"/>
        </w:rPr>
      </w:pPr>
    </w:p>
    <w:p w:rsidR="0097567E" w:rsidRDefault="0097567E" w:rsidP="00726978">
      <w:pPr>
        <w:spacing w:after="0" w:line="240" w:lineRule="auto"/>
        <w:jc w:val="both"/>
        <w:rPr>
          <w:rFonts w:ascii="Arial" w:hAnsi="Arial" w:cs="Arial"/>
        </w:rPr>
      </w:pPr>
      <w:r>
        <w:rPr>
          <w:rFonts w:ascii="Arial" w:hAnsi="Arial" w:cs="Arial"/>
        </w:rPr>
        <w:t xml:space="preserve">Some 79% of schools that receive Targeted Funding for </w:t>
      </w:r>
      <w:r w:rsidR="00EB5AD0">
        <w:rPr>
          <w:rFonts w:ascii="Arial" w:hAnsi="Arial" w:cs="Arial"/>
        </w:rPr>
        <w:t xml:space="preserve">Isolation are primary schools. </w:t>
      </w:r>
      <w:r w:rsidR="00BF394D" w:rsidRPr="008534D7">
        <w:rPr>
          <w:rFonts w:ascii="Arial" w:hAnsi="Arial" w:cs="Arial"/>
        </w:rPr>
        <w:t>Some 6</w:t>
      </w:r>
      <w:r w:rsidR="00B4258C">
        <w:rPr>
          <w:rFonts w:ascii="Arial" w:hAnsi="Arial" w:cs="Arial"/>
        </w:rPr>
        <w:t>4</w:t>
      </w:r>
      <w:r w:rsidR="00BF394D" w:rsidRPr="008534D7">
        <w:rPr>
          <w:rFonts w:ascii="Arial" w:hAnsi="Arial" w:cs="Arial"/>
        </w:rPr>
        <w:t xml:space="preserve">% of </w:t>
      </w:r>
      <w:r w:rsidR="00B4258C">
        <w:rPr>
          <w:rFonts w:ascii="Arial" w:hAnsi="Arial" w:cs="Arial"/>
        </w:rPr>
        <w:t xml:space="preserve">primary </w:t>
      </w:r>
      <w:r w:rsidR="00BF394D" w:rsidRPr="008534D7">
        <w:rPr>
          <w:rFonts w:ascii="Arial" w:hAnsi="Arial" w:cs="Arial"/>
        </w:rPr>
        <w:t>schools that receive Targeted Funding for Isolation are small schools</w:t>
      </w:r>
      <w:r w:rsidR="00B4258C">
        <w:rPr>
          <w:rFonts w:ascii="Arial" w:hAnsi="Arial" w:cs="Arial"/>
        </w:rPr>
        <w:t>, with rolls of less than 100</w:t>
      </w:r>
      <w:r w:rsidR="00BF394D" w:rsidRPr="008534D7">
        <w:rPr>
          <w:rFonts w:ascii="Arial" w:hAnsi="Arial" w:cs="Arial"/>
        </w:rPr>
        <w:t>.</w:t>
      </w:r>
      <w:r w:rsidR="00003CBF">
        <w:rPr>
          <w:rFonts w:ascii="Arial" w:hAnsi="Arial" w:cs="Arial"/>
        </w:rPr>
        <w:t xml:space="preserve"> </w:t>
      </w:r>
    </w:p>
    <w:p w:rsidR="00726978" w:rsidRDefault="00726978" w:rsidP="00726978">
      <w:pPr>
        <w:spacing w:after="0" w:line="240" w:lineRule="auto"/>
        <w:jc w:val="both"/>
        <w:rPr>
          <w:rFonts w:ascii="Arial" w:hAnsi="Arial" w:cs="Arial"/>
        </w:rPr>
      </w:pPr>
    </w:p>
    <w:p w:rsidR="0097567E" w:rsidRDefault="0097567E" w:rsidP="00726978">
      <w:pPr>
        <w:spacing w:after="0" w:line="240" w:lineRule="auto"/>
        <w:jc w:val="both"/>
        <w:rPr>
          <w:rFonts w:ascii="Arial" w:hAnsi="Arial" w:cs="Arial"/>
        </w:rPr>
      </w:pPr>
      <w:r>
        <w:rPr>
          <w:rFonts w:ascii="Arial" w:hAnsi="Arial" w:cs="Arial"/>
        </w:rPr>
        <w:t>Targeted Funding for Isolation currently accounts for between two percent and up to 2</w:t>
      </w:r>
      <w:r w:rsidR="008C0B3E">
        <w:rPr>
          <w:rFonts w:ascii="Arial" w:hAnsi="Arial" w:cs="Arial"/>
        </w:rPr>
        <w:t>0</w:t>
      </w:r>
      <w:r>
        <w:rPr>
          <w:rFonts w:ascii="Arial" w:hAnsi="Arial" w:cs="Arial"/>
        </w:rPr>
        <w:t xml:space="preserve">% of </w:t>
      </w:r>
      <w:r w:rsidR="005B51D5">
        <w:rPr>
          <w:rFonts w:ascii="Arial" w:hAnsi="Arial" w:cs="Arial"/>
        </w:rPr>
        <w:t xml:space="preserve">an </w:t>
      </w:r>
      <w:r>
        <w:rPr>
          <w:rFonts w:ascii="Arial" w:hAnsi="Arial" w:cs="Arial"/>
        </w:rPr>
        <w:t xml:space="preserve">individual school’s operational grant funding. </w:t>
      </w:r>
      <w:r w:rsidR="00F02FAF" w:rsidRPr="008534D7">
        <w:rPr>
          <w:rFonts w:ascii="Arial" w:hAnsi="Arial" w:cs="Arial"/>
        </w:rPr>
        <w:t>Of</w:t>
      </w:r>
      <w:r w:rsidR="00BE685D" w:rsidRPr="008534D7">
        <w:rPr>
          <w:rFonts w:ascii="Arial" w:hAnsi="Arial" w:cs="Arial"/>
        </w:rPr>
        <w:t xml:space="preserve"> the </w:t>
      </w:r>
      <w:r w:rsidR="008C0B3E" w:rsidRPr="008534D7">
        <w:rPr>
          <w:rFonts w:ascii="Arial" w:hAnsi="Arial" w:cs="Arial"/>
        </w:rPr>
        <w:t xml:space="preserve">89 </w:t>
      </w:r>
      <w:r w:rsidR="00BE685D" w:rsidRPr="008534D7">
        <w:rPr>
          <w:rFonts w:ascii="Arial" w:hAnsi="Arial" w:cs="Arial"/>
        </w:rPr>
        <w:t>schools where T</w:t>
      </w:r>
      <w:r w:rsidRPr="008534D7">
        <w:rPr>
          <w:rFonts w:ascii="Arial" w:hAnsi="Arial" w:cs="Arial"/>
        </w:rPr>
        <w:t xml:space="preserve">argeted Funding for Isolation accounts </w:t>
      </w:r>
      <w:r w:rsidR="00F02FAF" w:rsidRPr="008534D7">
        <w:rPr>
          <w:rFonts w:ascii="Arial" w:hAnsi="Arial" w:cs="Arial"/>
        </w:rPr>
        <w:t xml:space="preserve">for more than 10% of </w:t>
      </w:r>
      <w:r w:rsidR="00BE685D" w:rsidRPr="008534D7">
        <w:rPr>
          <w:rFonts w:ascii="Arial" w:hAnsi="Arial" w:cs="Arial"/>
        </w:rPr>
        <w:t xml:space="preserve">operational grant funding, </w:t>
      </w:r>
      <w:r w:rsidR="00E40225">
        <w:rPr>
          <w:rFonts w:ascii="Arial" w:hAnsi="Arial" w:cs="Arial"/>
        </w:rPr>
        <w:t xml:space="preserve">all are primary schools and </w:t>
      </w:r>
      <w:r w:rsidR="004678DB">
        <w:rPr>
          <w:rFonts w:ascii="Arial" w:hAnsi="Arial" w:cs="Arial"/>
        </w:rPr>
        <w:t xml:space="preserve">only </w:t>
      </w:r>
      <w:r w:rsidR="008534D7" w:rsidRPr="008534D7">
        <w:rPr>
          <w:rFonts w:ascii="Arial" w:hAnsi="Arial" w:cs="Arial"/>
        </w:rPr>
        <w:t>8</w:t>
      </w:r>
      <w:r w:rsidR="00BE685D" w:rsidRPr="008534D7">
        <w:rPr>
          <w:rFonts w:ascii="Arial" w:hAnsi="Arial" w:cs="Arial"/>
        </w:rPr>
        <w:t xml:space="preserve"> have a roll in excess of 100 students</w:t>
      </w:r>
      <w:r w:rsidR="005B51D5">
        <w:rPr>
          <w:rFonts w:ascii="Arial" w:hAnsi="Arial" w:cs="Arial"/>
        </w:rPr>
        <w:t>.</w:t>
      </w:r>
    </w:p>
    <w:p w:rsidR="00726978" w:rsidRDefault="00726978" w:rsidP="00726978">
      <w:pPr>
        <w:spacing w:after="0" w:line="240" w:lineRule="auto"/>
        <w:jc w:val="both"/>
        <w:rPr>
          <w:rFonts w:ascii="Arial" w:hAnsi="Arial" w:cs="Arial"/>
        </w:rPr>
      </w:pPr>
    </w:p>
    <w:p w:rsidR="00003CBF" w:rsidRDefault="008759B7" w:rsidP="003A16EE">
      <w:pPr>
        <w:pStyle w:val="MoENumberedList"/>
        <w:numPr>
          <w:ilvl w:val="0"/>
          <w:numId w:val="0"/>
        </w:numPr>
        <w:spacing w:after="0"/>
        <w:jc w:val="center"/>
        <w:rPr>
          <w:rFonts w:cs="Arial"/>
          <w:b/>
          <w:szCs w:val="20"/>
        </w:rPr>
      </w:pPr>
      <w:r>
        <w:rPr>
          <w:rFonts w:cs="Arial"/>
          <w:b/>
          <w:szCs w:val="20"/>
        </w:rPr>
        <w:br w:type="column"/>
      </w:r>
      <w:r w:rsidR="00003CBF" w:rsidRPr="00003CBF">
        <w:rPr>
          <w:rFonts w:cs="Arial"/>
          <w:b/>
          <w:szCs w:val="20"/>
        </w:rPr>
        <w:t>Table 2: Funding for isolation as percentage of operational grant funding</w:t>
      </w:r>
    </w:p>
    <w:p w:rsidR="00726978" w:rsidRPr="00003CBF" w:rsidRDefault="00726978" w:rsidP="00726978">
      <w:pPr>
        <w:pStyle w:val="MoENumberedList"/>
        <w:numPr>
          <w:ilvl w:val="0"/>
          <w:numId w:val="0"/>
        </w:numPr>
        <w:spacing w:after="0"/>
        <w:rPr>
          <w:rFonts w:cs="Arial"/>
          <w:b/>
          <w:szCs w:val="20"/>
        </w:rPr>
      </w:pPr>
    </w:p>
    <w:tbl>
      <w:tblPr>
        <w:tblStyle w:val="FiveGoals"/>
        <w:tblW w:w="8285" w:type="dxa"/>
        <w:jc w:val="center"/>
        <w:tblInd w:w="-138" w:type="dxa"/>
        <w:tblLook w:val="04A0"/>
      </w:tblPr>
      <w:tblGrid>
        <w:gridCol w:w="2122"/>
        <w:gridCol w:w="1074"/>
        <w:gridCol w:w="1519"/>
        <w:gridCol w:w="1363"/>
        <w:gridCol w:w="1400"/>
        <w:gridCol w:w="807"/>
      </w:tblGrid>
      <w:tr w:rsidR="00587EB4" w:rsidRPr="00657987" w:rsidTr="00726978">
        <w:trPr>
          <w:cnfStyle w:val="100000000000"/>
          <w:jc w:val="center"/>
        </w:trPr>
        <w:tc>
          <w:tcPr>
            <w:cnfStyle w:val="001000000000"/>
            <w:tcW w:w="2282" w:type="dxa"/>
            <w:vAlign w:val="center"/>
          </w:tcPr>
          <w:p w:rsidR="00200C73" w:rsidRPr="008E6D10" w:rsidRDefault="00200C73" w:rsidP="00200C73">
            <w:pPr>
              <w:pStyle w:val="MoEBodyText"/>
              <w:spacing w:before="0" w:after="0" w:line="240" w:lineRule="auto"/>
              <w:jc w:val="center"/>
              <w:rPr>
                <w:rFonts w:eastAsia="Times New Roman" w:cs="Arial"/>
              </w:rPr>
            </w:pPr>
            <w:r>
              <w:rPr>
                <w:rFonts w:eastAsia="Times New Roman" w:cs="Arial"/>
              </w:rPr>
              <w:t>TFI as % of Operational funding</w:t>
            </w:r>
          </w:p>
        </w:tc>
        <w:tc>
          <w:tcPr>
            <w:tcW w:w="1074" w:type="dxa"/>
            <w:vAlign w:val="center"/>
          </w:tcPr>
          <w:p w:rsidR="00200C73" w:rsidRPr="008E6D10" w:rsidRDefault="00200C73" w:rsidP="00200C73">
            <w:pPr>
              <w:pStyle w:val="MoEBodyText"/>
              <w:spacing w:before="0" w:after="0" w:line="240" w:lineRule="auto"/>
              <w:jc w:val="center"/>
              <w:cnfStyle w:val="100000000000"/>
              <w:rPr>
                <w:rFonts w:eastAsia="Times New Roman" w:cs="Arial"/>
              </w:rPr>
            </w:pPr>
            <w:r>
              <w:rPr>
                <w:rFonts w:eastAsia="Times New Roman" w:cs="Arial"/>
              </w:rPr>
              <w:t>Primary</w:t>
            </w:r>
          </w:p>
        </w:tc>
        <w:tc>
          <w:tcPr>
            <w:tcW w:w="1519" w:type="dxa"/>
            <w:vAlign w:val="center"/>
          </w:tcPr>
          <w:p w:rsidR="00200C73" w:rsidRPr="008E6D10" w:rsidRDefault="00200C73" w:rsidP="00200C73">
            <w:pPr>
              <w:pStyle w:val="MoEBodyText"/>
              <w:spacing w:before="0" w:after="0" w:line="240" w:lineRule="auto"/>
              <w:jc w:val="center"/>
              <w:cnfStyle w:val="100000000000"/>
              <w:rPr>
                <w:rFonts w:eastAsia="Times New Roman" w:cs="Arial"/>
              </w:rPr>
            </w:pPr>
            <w:r>
              <w:rPr>
                <w:rFonts w:eastAsia="Times New Roman" w:cs="Arial"/>
              </w:rPr>
              <w:t>Intermediate</w:t>
            </w:r>
          </w:p>
        </w:tc>
        <w:tc>
          <w:tcPr>
            <w:tcW w:w="1363" w:type="dxa"/>
            <w:vAlign w:val="center"/>
          </w:tcPr>
          <w:p w:rsidR="00200C73" w:rsidRPr="008E6D10" w:rsidRDefault="00200C73" w:rsidP="00200C73">
            <w:pPr>
              <w:pStyle w:val="MoEBodyText"/>
              <w:spacing w:before="0" w:after="0" w:line="240" w:lineRule="auto"/>
              <w:jc w:val="center"/>
              <w:cnfStyle w:val="100000000000"/>
              <w:rPr>
                <w:rFonts w:eastAsia="Times New Roman" w:cs="Arial"/>
              </w:rPr>
            </w:pPr>
            <w:r>
              <w:rPr>
                <w:rFonts w:eastAsia="Times New Roman" w:cs="Arial"/>
              </w:rPr>
              <w:t>Composite</w:t>
            </w:r>
          </w:p>
        </w:tc>
        <w:tc>
          <w:tcPr>
            <w:tcW w:w="1411" w:type="dxa"/>
            <w:vAlign w:val="center"/>
          </w:tcPr>
          <w:p w:rsidR="00200C73" w:rsidRPr="008E6D10" w:rsidRDefault="00200C73" w:rsidP="00110932">
            <w:pPr>
              <w:pStyle w:val="MoEBodyText"/>
              <w:spacing w:before="0" w:after="0" w:line="240" w:lineRule="auto"/>
              <w:jc w:val="center"/>
              <w:cnfStyle w:val="100000000000"/>
              <w:rPr>
                <w:rFonts w:eastAsia="Times New Roman" w:cs="Arial"/>
              </w:rPr>
            </w:pPr>
            <w:r>
              <w:rPr>
                <w:rFonts w:eastAsia="Times New Roman" w:cs="Arial"/>
              </w:rPr>
              <w:t>Secondary</w:t>
            </w:r>
          </w:p>
        </w:tc>
        <w:tc>
          <w:tcPr>
            <w:tcW w:w="636" w:type="dxa"/>
            <w:vAlign w:val="center"/>
          </w:tcPr>
          <w:p w:rsidR="00200C73" w:rsidRPr="008E6D10" w:rsidRDefault="00200C73" w:rsidP="00110932">
            <w:pPr>
              <w:pStyle w:val="MoEBodyText"/>
              <w:spacing w:before="0" w:after="0" w:line="240" w:lineRule="auto"/>
              <w:jc w:val="center"/>
              <w:cnfStyle w:val="100000000000"/>
              <w:rPr>
                <w:rFonts w:eastAsia="Times New Roman" w:cs="Arial"/>
              </w:rPr>
            </w:pPr>
            <w:r>
              <w:rPr>
                <w:rFonts w:eastAsia="Times New Roman" w:cs="Arial"/>
              </w:rPr>
              <w:t>Total</w:t>
            </w:r>
          </w:p>
        </w:tc>
      </w:tr>
      <w:tr w:rsidR="00587EB4" w:rsidRPr="002F1C45" w:rsidTr="00EB5AD0">
        <w:trPr>
          <w:jc w:val="center"/>
        </w:trPr>
        <w:tc>
          <w:tcPr>
            <w:cnfStyle w:val="001000000000"/>
            <w:tcW w:w="2282" w:type="dxa"/>
            <w:vAlign w:val="center"/>
          </w:tcPr>
          <w:p w:rsidR="00200C73" w:rsidRPr="00657987" w:rsidRDefault="00200C73" w:rsidP="00200C73">
            <w:pPr>
              <w:pStyle w:val="MoEBodyText"/>
              <w:spacing w:before="0" w:after="120" w:line="240" w:lineRule="auto"/>
              <w:ind w:left="0"/>
              <w:rPr>
                <w:rFonts w:eastAsia="Times New Roman" w:cs="Arial"/>
                <w:b w:val="0"/>
                <w:color w:val="auto"/>
              </w:rPr>
            </w:pPr>
            <w:r>
              <w:rPr>
                <w:rFonts w:eastAsia="Times New Roman" w:cs="Arial"/>
                <w:b w:val="0"/>
                <w:color w:val="auto"/>
              </w:rPr>
              <w:t>Between 0% and 5%</w:t>
            </w:r>
          </w:p>
        </w:tc>
        <w:tc>
          <w:tcPr>
            <w:tcW w:w="1074" w:type="dxa"/>
            <w:vAlign w:val="center"/>
          </w:tcPr>
          <w:p w:rsidR="00200C73" w:rsidRPr="002F1C45" w:rsidRDefault="00200C73" w:rsidP="00EB5AD0">
            <w:pPr>
              <w:pStyle w:val="MoEBodyText"/>
              <w:spacing w:after="120" w:line="240" w:lineRule="auto"/>
              <w:jc w:val="center"/>
              <w:cnfStyle w:val="000000000000"/>
              <w:rPr>
                <w:rFonts w:eastAsia="Times New Roman" w:cs="Arial"/>
              </w:rPr>
            </w:pPr>
            <w:r>
              <w:rPr>
                <w:rFonts w:eastAsia="Times New Roman" w:cs="Arial"/>
              </w:rPr>
              <w:t>16</w:t>
            </w:r>
          </w:p>
        </w:tc>
        <w:tc>
          <w:tcPr>
            <w:tcW w:w="1519" w:type="dxa"/>
            <w:vAlign w:val="center"/>
          </w:tcPr>
          <w:p w:rsidR="00200C73" w:rsidRPr="002F1C45" w:rsidRDefault="008C0B3E" w:rsidP="00EB5AD0">
            <w:pPr>
              <w:pStyle w:val="MoEBodyText"/>
              <w:spacing w:after="120" w:line="240" w:lineRule="auto"/>
              <w:jc w:val="center"/>
              <w:cnfStyle w:val="000000000000"/>
              <w:rPr>
                <w:rFonts w:eastAsia="Times New Roman" w:cs="Arial"/>
              </w:rPr>
            </w:pPr>
            <w:r>
              <w:rPr>
                <w:rFonts w:eastAsia="Times New Roman" w:cs="Arial"/>
              </w:rPr>
              <w:t>7</w:t>
            </w:r>
          </w:p>
        </w:tc>
        <w:tc>
          <w:tcPr>
            <w:tcW w:w="1363" w:type="dxa"/>
            <w:vAlign w:val="center"/>
          </w:tcPr>
          <w:p w:rsidR="00200C73" w:rsidRPr="002F1C45" w:rsidRDefault="008C0B3E" w:rsidP="00EB5AD0">
            <w:pPr>
              <w:pStyle w:val="MoEBodyText"/>
              <w:spacing w:after="120" w:line="240" w:lineRule="auto"/>
              <w:jc w:val="center"/>
              <w:cnfStyle w:val="000000000000"/>
              <w:rPr>
                <w:rFonts w:eastAsia="Times New Roman" w:cs="Arial"/>
              </w:rPr>
            </w:pPr>
            <w:r>
              <w:rPr>
                <w:rFonts w:eastAsia="Times New Roman" w:cs="Arial"/>
              </w:rPr>
              <w:t>45</w:t>
            </w:r>
          </w:p>
        </w:tc>
        <w:tc>
          <w:tcPr>
            <w:tcW w:w="1411" w:type="dxa"/>
            <w:vAlign w:val="center"/>
          </w:tcPr>
          <w:p w:rsidR="00200C73" w:rsidRPr="002F1C45" w:rsidRDefault="008C0B3E" w:rsidP="00EB5AD0">
            <w:pPr>
              <w:pStyle w:val="MoEBodyText"/>
              <w:spacing w:after="120" w:line="240" w:lineRule="auto"/>
              <w:jc w:val="center"/>
              <w:cnfStyle w:val="000000000000"/>
              <w:rPr>
                <w:rFonts w:eastAsia="Times New Roman" w:cs="Arial"/>
              </w:rPr>
            </w:pPr>
            <w:r>
              <w:rPr>
                <w:rFonts w:eastAsia="Times New Roman" w:cs="Arial"/>
              </w:rPr>
              <w:t>29</w:t>
            </w:r>
          </w:p>
        </w:tc>
        <w:tc>
          <w:tcPr>
            <w:tcW w:w="636" w:type="dxa"/>
            <w:vAlign w:val="center"/>
          </w:tcPr>
          <w:p w:rsidR="00200C73" w:rsidRPr="002F1C45" w:rsidRDefault="008C0B3E" w:rsidP="00EB5AD0">
            <w:pPr>
              <w:pStyle w:val="MoEBodyText"/>
              <w:spacing w:after="120" w:line="240" w:lineRule="auto"/>
              <w:jc w:val="center"/>
              <w:cnfStyle w:val="000000000000"/>
              <w:rPr>
                <w:rFonts w:eastAsia="Times New Roman" w:cs="Arial"/>
              </w:rPr>
            </w:pPr>
            <w:r>
              <w:rPr>
                <w:rFonts w:eastAsia="Times New Roman" w:cs="Arial"/>
              </w:rPr>
              <w:t>97</w:t>
            </w:r>
          </w:p>
        </w:tc>
      </w:tr>
      <w:tr w:rsidR="00587EB4" w:rsidRPr="002F1C45" w:rsidTr="00EB5AD0">
        <w:trPr>
          <w:jc w:val="center"/>
        </w:trPr>
        <w:tc>
          <w:tcPr>
            <w:cnfStyle w:val="001000000000"/>
            <w:tcW w:w="2282" w:type="dxa"/>
            <w:vAlign w:val="center"/>
          </w:tcPr>
          <w:p w:rsidR="00200C73" w:rsidRPr="00657987" w:rsidRDefault="00200C73" w:rsidP="00200C73">
            <w:pPr>
              <w:pStyle w:val="MoEBodyText"/>
              <w:spacing w:before="0" w:after="120" w:line="240" w:lineRule="auto"/>
              <w:ind w:left="0"/>
              <w:rPr>
                <w:rFonts w:eastAsia="Times New Roman" w:cs="Arial"/>
                <w:b w:val="0"/>
                <w:color w:val="auto"/>
              </w:rPr>
            </w:pPr>
            <w:r>
              <w:rPr>
                <w:rFonts w:eastAsia="Times New Roman" w:cs="Arial"/>
                <w:b w:val="0"/>
                <w:color w:val="auto"/>
              </w:rPr>
              <w:t>Between 5% and 10%</w:t>
            </w:r>
          </w:p>
        </w:tc>
        <w:tc>
          <w:tcPr>
            <w:tcW w:w="1074" w:type="dxa"/>
            <w:vAlign w:val="center"/>
          </w:tcPr>
          <w:p w:rsidR="00200C73" w:rsidRPr="002F1C45" w:rsidRDefault="00200C73" w:rsidP="00200C73">
            <w:pPr>
              <w:pStyle w:val="MoEBodyText"/>
              <w:spacing w:before="0" w:after="120" w:line="240" w:lineRule="auto"/>
              <w:jc w:val="center"/>
              <w:cnfStyle w:val="000000000000"/>
              <w:rPr>
                <w:rFonts w:eastAsia="Times New Roman" w:cs="Arial"/>
              </w:rPr>
            </w:pPr>
            <w:r>
              <w:rPr>
                <w:rFonts w:eastAsia="Times New Roman" w:cs="Arial"/>
              </w:rPr>
              <w:t>275</w:t>
            </w:r>
          </w:p>
        </w:tc>
        <w:tc>
          <w:tcPr>
            <w:tcW w:w="1519" w:type="dxa"/>
            <w:vAlign w:val="center"/>
          </w:tcPr>
          <w:p w:rsidR="00200C73" w:rsidRPr="002F1C45" w:rsidRDefault="008C0B3E" w:rsidP="00200C73">
            <w:pPr>
              <w:pStyle w:val="MoEBodyText"/>
              <w:spacing w:before="0" w:after="120" w:line="240" w:lineRule="auto"/>
              <w:jc w:val="center"/>
              <w:cnfStyle w:val="000000000000"/>
              <w:rPr>
                <w:rFonts w:eastAsia="Times New Roman" w:cs="Arial"/>
              </w:rPr>
            </w:pPr>
            <w:r>
              <w:rPr>
                <w:rFonts w:eastAsia="Times New Roman" w:cs="Arial"/>
              </w:rPr>
              <w:t>0</w:t>
            </w:r>
          </w:p>
        </w:tc>
        <w:tc>
          <w:tcPr>
            <w:tcW w:w="1363" w:type="dxa"/>
            <w:vAlign w:val="center"/>
          </w:tcPr>
          <w:p w:rsidR="00200C73" w:rsidRPr="002F1C45" w:rsidRDefault="008C0B3E" w:rsidP="00EB5AD0">
            <w:pPr>
              <w:pStyle w:val="MoEBodyText"/>
              <w:spacing w:after="120" w:line="240" w:lineRule="auto"/>
              <w:jc w:val="center"/>
              <w:cnfStyle w:val="000000000000"/>
              <w:rPr>
                <w:rFonts w:eastAsia="Times New Roman" w:cs="Arial"/>
              </w:rPr>
            </w:pPr>
            <w:r>
              <w:rPr>
                <w:rFonts w:eastAsia="Times New Roman" w:cs="Arial"/>
              </w:rPr>
              <w:t>8</w:t>
            </w:r>
          </w:p>
        </w:tc>
        <w:tc>
          <w:tcPr>
            <w:tcW w:w="1411" w:type="dxa"/>
            <w:vAlign w:val="center"/>
          </w:tcPr>
          <w:p w:rsidR="00200C73" w:rsidRPr="002F1C45" w:rsidRDefault="008C0B3E" w:rsidP="00EB5AD0">
            <w:pPr>
              <w:pStyle w:val="MoEBodyText"/>
              <w:spacing w:after="120" w:line="240" w:lineRule="auto"/>
              <w:jc w:val="center"/>
              <w:cnfStyle w:val="000000000000"/>
              <w:rPr>
                <w:rFonts w:eastAsia="Times New Roman" w:cs="Arial"/>
              </w:rPr>
            </w:pPr>
            <w:r>
              <w:rPr>
                <w:rFonts w:eastAsia="Times New Roman" w:cs="Arial"/>
              </w:rPr>
              <w:t>9</w:t>
            </w:r>
          </w:p>
        </w:tc>
        <w:tc>
          <w:tcPr>
            <w:tcW w:w="636" w:type="dxa"/>
            <w:vAlign w:val="center"/>
          </w:tcPr>
          <w:p w:rsidR="00200C73" w:rsidRPr="002F1C45" w:rsidRDefault="008C0B3E" w:rsidP="00EB5AD0">
            <w:pPr>
              <w:pStyle w:val="MoEBodyText"/>
              <w:spacing w:after="120" w:line="240" w:lineRule="auto"/>
              <w:jc w:val="center"/>
              <w:cnfStyle w:val="000000000000"/>
              <w:rPr>
                <w:rFonts w:eastAsia="Times New Roman" w:cs="Arial"/>
              </w:rPr>
            </w:pPr>
            <w:r>
              <w:rPr>
                <w:rFonts w:eastAsia="Times New Roman" w:cs="Arial"/>
              </w:rPr>
              <w:t>292</w:t>
            </w:r>
          </w:p>
        </w:tc>
      </w:tr>
      <w:tr w:rsidR="00587EB4" w:rsidRPr="002F1C45" w:rsidTr="00EB5AD0">
        <w:trPr>
          <w:jc w:val="center"/>
        </w:trPr>
        <w:tc>
          <w:tcPr>
            <w:cnfStyle w:val="001000000000"/>
            <w:tcW w:w="2282" w:type="dxa"/>
            <w:vAlign w:val="center"/>
          </w:tcPr>
          <w:p w:rsidR="00200C73" w:rsidRPr="00657987" w:rsidRDefault="00200C73" w:rsidP="00200C73">
            <w:pPr>
              <w:pStyle w:val="MoEBodyText"/>
              <w:spacing w:before="0" w:after="120" w:line="240" w:lineRule="auto"/>
              <w:ind w:left="0"/>
              <w:rPr>
                <w:rFonts w:eastAsia="Times New Roman" w:cs="Arial"/>
                <w:b w:val="0"/>
                <w:color w:val="auto"/>
              </w:rPr>
            </w:pPr>
            <w:r>
              <w:rPr>
                <w:rFonts w:eastAsia="Times New Roman" w:cs="Arial"/>
                <w:b w:val="0"/>
                <w:color w:val="auto"/>
              </w:rPr>
              <w:t>Between 10% and 15%</w:t>
            </w:r>
          </w:p>
        </w:tc>
        <w:tc>
          <w:tcPr>
            <w:tcW w:w="1074" w:type="dxa"/>
            <w:vAlign w:val="center"/>
          </w:tcPr>
          <w:p w:rsidR="00200C73" w:rsidRPr="002F1C45" w:rsidRDefault="00200C73" w:rsidP="00200C73">
            <w:pPr>
              <w:pStyle w:val="MoEBodyText"/>
              <w:spacing w:before="0" w:after="120" w:line="240" w:lineRule="auto"/>
              <w:jc w:val="center"/>
              <w:cnfStyle w:val="000000000000"/>
              <w:rPr>
                <w:rFonts w:eastAsia="Times New Roman" w:cs="Arial"/>
              </w:rPr>
            </w:pPr>
            <w:r>
              <w:rPr>
                <w:rFonts w:eastAsia="Times New Roman" w:cs="Arial"/>
              </w:rPr>
              <w:t>87</w:t>
            </w:r>
          </w:p>
        </w:tc>
        <w:tc>
          <w:tcPr>
            <w:tcW w:w="1519" w:type="dxa"/>
            <w:vAlign w:val="center"/>
          </w:tcPr>
          <w:p w:rsidR="00200C73" w:rsidRPr="002F1C45" w:rsidRDefault="008C0B3E" w:rsidP="00200C73">
            <w:pPr>
              <w:pStyle w:val="MoEBodyText"/>
              <w:spacing w:before="0" w:after="120" w:line="240" w:lineRule="auto"/>
              <w:jc w:val="center"/>
              <w:cnfStyle w:val="000000000000"/>
              <w:rPr>
                <w:rFonts w:eastAsia="Times New Roman" w:cs="Arial"/>
              </w:rPr>
            </w:pPr>
            <w:r>
              <w:rPr>
                <w:rFonts w:eastAsia="Times New Roman" w:cs="Arial"/>
              </w:rPr>
              <w:t>0</w:t>
            </w:r>
          </w:p>
        </w:tc>
        <w:tc>
          <w:tcPr>
            <w:tcW w:w="1363" w:type="dxa"/>
            <w:vAlign w:val="center"/>
          </w:tcPr>
          <w:p w:rsidR="00200C73" w:rsidRPr="002F1C45" w:rsidRDefault="008C0B3E" w:rsidP="00EB5AD0">
            <w:pPr>
              <w:pStyle w:val="MoEBodyText"/>
              <w:spacing w:after="120" w:line="240" w:lineRule="auto"/>
              <w:jc w:val="center"/>
              <w:cnfStyle w:val="000000000000"/>
              <w:rPr>
                <w:rFonts w:eastAsia="Times New Roman" w:cs="Arial"/>
              </w:rPr>
            </w:pPr>
            <w:r>
              <w:rPr>
                <w:rFonts w:eastAsia="Times New Roman" w:cs="Arial"/>
              </w:rPr>
              <w:t>0</w:t>
            </w:r>
          </w:p>
        </w:tc>
        <w:tc>
          <w:tcPr>
            <w:tcW w:w="1411" w:type="dxa"/>
            <w:vAlign w:val="center"/>
          </w:tcPr>
          <w:p w:rsidR="00200C73" w:rsidRPr="002F1C45" w:rsidRDefault="008C0B3E" w:rsidP="00EB5AD0">
            <w:pPr>
              <w:pStyle w:val="MoEBodyText"/>
              <w:spacing w:after="120" w:line="240" w:lineRule="auto"/>
              <w:jc w:val="center"/>
              <w:cnfStyle w:val="000000000000"/>
              <w:rPr>
                <w:rFonts w:eastAsia="Times New Roman" w:cs="Arial"/>
              </w:rPr>
            </w:pPr>
            <w:r>
              <w:rPr>
                <w:rFonts w:eastAsia="Times New Roman" w:cs="Arial"/>
              </w:rPr>
              <w:t>0</w:t>
            </w:r>
          </w:p>
        </w:tc>
        <w:tc>
          <w:tcPr>
            <w:tcW w:w="636" w:type="dxa"/>
            <w:vAlign w:val="center"/>
          </w:tcPr>
          <w:p w:rsidR="00200C73" w:rsidRPr="002F1C45" w:rsidRDefault="008C0B3E" w:rsidP="00EB5AD0">
            <w:pPr>
              <w:pStyle w:val="MoEBodyText"/>
              <w:spacing w:after="120" w:line="240" w:lineRule="auto"/>
              <w:jc w:val="center"/>
              <w:cnfStyle w:val="000000000000"/>
              <w:rPr>
                <w:rFonts w:eastAsia="Times New Roman" w:cs="Arial"/>
              </w:rPr>
            </w:pPr>
            <w:r>
              <w:rPr>
                <w:rFonts w:eastAsia="Times New Roman" w:cs="Arial"/>
              </w:rPr>
              <w:t>87</w:t>
            </w:r>
          </w:p>
        </w:tc>
      </w:tr>
      <w:tr w:rsidR="00587EB4" w:rsidRPr="002F1C45" w:rsidTr="00EB5AD0">
        <w:trPr>
          <w:jc w:val="center"/>
        </w:trPr>
        <w:tc>
          <w:tcPr>
            <w:cnfStyle w:val="001000000000"/>
            <w:tcW w:w="2282" w:type="dxa"/>
            <w:vAlign w:val="center"/>
          </w:tcPr>
          <w:p w:rsidR="00200C73" w:rsidRDefault="00200C73" w:rsidP="003116FE">
            <w:pPr>
              <w:pStyle w:val="MoEBodyText"/>
              <w:spacing w:before="0" w:after="120" w:line="240" w:lineRule="auto"/>
              <w:ind w:left="0"/>
              <w:rPr>
                <w:rFonts w:eastAsia="Times New Roman" w:cs="Arial"/>
                <w:b w:val="0"/>
              </w:rPr>
            </w:pPr>
            <w:r w:rsidRPr="003116FE">
              <w:rPr>
                <w:rFonts w:eastAsia="Times New Roman" w:cs="Arial"/>
                <w:b w:val="0"/>
                <w:color w:val="auto"/>
              </w:rPr>
              <w:t>Between 15% and 20%</w:t>
            </w:r>
          </w:p>
        </w:tc>
        <w:tc>
          <w:tcPr>
            <w:tcW w:w="1074" w:type="dxa"/>
            <w:vAlign w:val="center"/>
          </w:tcPr>
          <w:p w:rsidR="00200C73" w:rsidRPr="002F1C45" w:rsidRDefault="00200C73" w:rsidP="00200C73">
            <w:pPr>
              <w:pStyle w:val="MoEBodyText"/>
              <w:spacing w:after="120" w:line="240" w:lineRule="auto"/>
              <w:jc w:val="center"/>
              <w:cnfStyle w:val="000000000000"/>
              <w:rPr>
                <w:rFonts w:eastAsia="Times New Roman" w:cs="Arial"/>
              </w:rPr>
            </w:pPr>
            <w:r>
              <w:rPr>
                <w:rFonts w:eastAsia="Times New Roman" w:cs="Arial"/>
              </w:rPr>
              <w:t>2</w:t>
            </w:r>
          </w:p>
        </w:tc>
        <w:tc>
          <w:tcPr>
            <w:tcW w:w="1519" w:type="dxa"/>
            <w:vAlign w:val="center"/>
          </w:tcPr>
          <w:p w:rsidR="00200C73" w:rsidRPr="002F1C45" w:rsidRDefault="008C0B3E" w:rsidP="00200C73">
            <w:pPr>
              <w:pStyle w:val="MoEBodyText"/>
              <w:spacing w:after="120" w:line="240" w:lineRule="auto"/>
              <w:jc w:val="center"/>
              <w:cnfStyle w:val="000000000000"/>
              <w:rPr>
                <w:rFonts w:eastAsia="Times New Roman" w:cs="Arial"/>
              </w:rPr>
            </w:pPr>
            <w:r>
              <w:rPr>
                <w:rFonts w:eastAsia="Times New Roman" w:cs="Arial"/>
              </w:rPr>
              <w:t>0</w:t>
            </w:r>
          </w:p>
        </w:tc>
        <w:tc>
          <w:tcPr>
            <w:tcW w:w="1363" w:type="dxa"/>
            <w:vAlign w:val="center"/>
          </w:tcPr>
          <w:p w:rsidR="00200C73" w:rsidRPr="002F1C45" w:rsidRDefault="008C0B3E" w:rsidP="00EB5AD0">
            <w:pPr>
              <w:pStyle w:val="MoEBodyText"/>
              <w:spacing w:after="120" w:line="240" w:lineRule="auto"/>
              <w:jc w:val="center"/>
              <w:cnfStyle w:val="000000000000"/>
              <w:rPr>
                <w:rFonts w:eastAsia="Times New Roman" w:cs="Arial"/>
              </w:rPr>
            </w:pPr>
            <w:r>
              <w:rPr>
                <w:rFonts w:eastAsia="Times New Roman" w:cs="Arial"/>
              </w:rPr>
              <w:t>0</w:t>
            </w:r>
          </w:p>
        </w:tc>
        <w:tc>
          <w:tcPr>
            <w:tcW w:w="1411" w:type="dxa"/>
            <w:vAlign w:val="center"/>
          </w:tcPr>
          <w:p w:rsidR="00200C73" w:rsidRPr="002F1C45" w:rsidRDefault="008C0B3E" w:rsidP="00EB5AD0">
            <w:pPr>
              <w:pStyle w:val="MoEBodyText"/>
              <w:spacing w:after="120" w:line="240" w:lineRule="auto"/>
              <w:jc w:val="center"/>
              <w:cnfStyle w:val="000000000000"/>
              <w:rPr>
                <w:rFonts w:eastAsia="Times New Roman" w:cs="Arial"/>
              </w:rPr>
            </w:pPr>
            <w:r>
              <w:rPr>
                <w:rFonts w:eastAsia="Times New Roman" w:cs="Arial"/>
              </w:rPr>
              <w:t>0</w:t>
            </w:r>
          </w:p>
        </w:tc>
        <w:tc>
          <w:tcPr>
            <w:tcW w:w="636" w:type="dxa"/>
            <w:vAlign w:val="center"/>
          </w:tcPr>
          <w:p w:rsidR="00200C73" w:rsidRPr="002F1C45" w:rsidRDefault="008C0B3E" w:rsidP="00EB5AD0">
            <w:pPr>
              <w:pStyle w:val="MoEBodyText"/>
              <w:spacing w:after="120" w:line="240" w:lineRule="auto"/>
              <w:jc w:val="center"/>
              <w:cnfStyle w:val="000000000000"/>
              <w:rPr>
                <w:rFonts w:eastAsia="Times New Roman" w:cs="Arial"/>
              </w:rPr>
            </w:pPr>
            <w:r>
              <w:rPr>
                <w:rFonts w:eastAsia="Times New Roman" w:cs="Arial"/>
              </w:rPr>
              <w:t>2</w:t>
            </w:r>
          </w:p>
        </w:tc>
      </w:tr>
      <w:tr w:rsidR="00587EB4" w:rsidRPr="0055691E" w:rsidTr="00EB5AD0">
        <w:trPr>
          <w:jc w:val="center"/>
        </w:trPr>
        <w:tc>
          <w:tcPr>
            <w:cnfStyle w:val="001000000000"/>
            <w:tcW w:w="2282" w:type="dxa"/>
            <w:vAlign w:val="center"/>
          </w:tcPr>
          <w:p w:rsidR="00200C73" w:rsidRPr="003116FE" w:rsidRDefault="00200C73" w:rsidP="00EB5AD0">
            <w:pPr>
              <w:pStyle w:val="MoEBodyText"/>
              <w:spacing w:before="0" w:after="120" w:line="240" w:lineRule="auto"/>
              <w:ind w:left="0"/>
              <w:rPr>
                <w:rFonts w:eastAsia="Times New Roman" w:cs="Arial"/>
              </w:rPr>
            </w:pPr>
            <w:r w:rsidRPr="003116FE">
              <w:rPr>
                <w:rFonts w:eastAsia="Times New Roman" w:cs="Arial"/>
                <w:color w:val="auto"/>
              </w:rPr>
              <w:t>Total</w:t>
            </w:r>
          </w:p>
        </w:tc>
        <w:tc>
          <w:tcPr>
            <w:tcW w:w="1074" w:type="dxa"/>
            <w:vAlign w:val="center"/>
          </w:tcPr>
          <w:p w:rsidR="00200C73" w:rsidRPr="0055691E" w:rsidRDefault="008C0B3E" w:rsidP="00EB5AD0">
            <w:pPr>
              <w:pStyle w:val="MoEBodyText"/>
              <w:spacing w:after="120" w:line="240" w:lineRule="auto"/>
              <w:jc w:val="center"/>
              <w:cnfStyle w:val="000000000000"/>
              <w:rPr>
                <w:rFonts w:eastAsia="Times New Roman" w:cs="Arial"/>
                <w:b/>
              </w:rPr>
            </w:pPr>
            <w:r w:rsidRPr="0055691E">
              <w:rPr>
                <w:rFonts w:eastAsia="Times New Roman" w:cs="Arial"/>
                <w:b/>
              </w:rPr>
              <w:t>380</w:t>
            </w:r>
          </w:p>
        </w:tc>
        <w:tc>
          <w:tcPr>
            <w:tcW w:w="1519" w:type="dxa"/>
            <w:vAlign w:val="center"/>
          </w:tcPr>
          <w:p w:rsidR="00200C73" w:rsidRPr="0055691E" w:rsidRDefault="008C0B3E" w:rsidP="00EB5AD0">
            <w:pPr>
              <w:pStyle w:val="MoEBodyText"/>
              <w:spacing w:after="120" w:line="240" w:lineRule="auto"/>
              <w:jc w:val="center"/>
              <w:cnfStyle w:val="000000000000"/>
              <w:rPr>
                <w:rFonts w:eastAsia="Times New Roman" w:cs="Arial"/>
                <w:b/>
              </w:rPr>
            </w:pPr>
            <w:r w:rsidRPr="0055691E">
              <w:rPr>
                <w:rFonts w:eastAsia="Times New Roman" w:cs="Arial"/>
                <w:b/>
              </w:rPr>
              <w:t>7</w:t>
            </w:r>
          </w:p>
        </w:tc>
        <w:tc>
          <w:tcPr>
            <w:tcW w:w="1363" w:type="dxa"/>
            <w:vAlign w:val="center"/>
          </w:tcPr>
          <w:p w:rsidR="00200C73" w:rsidRPr="0055691E" w:rsidRDefault="008C0B3E" w:rsidP="00EB5AD0">
            <w:pPr>
              <w:pStyle w:val="MoEBodyText"/>
              <w:spacing w:after="120" w:line="240" w:lineRule="auto"/>
              <w:jc w:val="center"/>
              <w:cnfStyle w:val="000000000000"/>
              <w:rPr>
                <w:rFonts w:eastAsia="Times New Roman" w:cs="Arial"/>
                <w:b/>
              </w:rPr>
            </w:pPr>
            <w:r w:rsidRPr="0055691E">
              <w:rPr>
                <w:rFonts w:eastAsia="Times New Roman" w:cs="Arial"/>
                <w:b/>
              </w:rPr>
              <w:t>53</w:t>
            </w:r>
          </w:p>
        </w:tc>
        <w:tc>
          <w:tcPr>
            <w:tcW w:w="1411" w:type="dxa"/>
            <w:vAlign w:val="center"/>
          </w:tcPr>
          <w:p w:rsidR="00200C73" w:rsidRPr="0055691E" w:rsidRDefault="008C0B3E" w:rsidP="00EB5AD0">
            <w:pPr>
              <w:pStyle w:val="MoEBodyText"/>
              <w:spacing w:after="120" w:line="240" w:lineRule="auto"/>
              <w:jc w:val="center"/>
              <w:cnfStyle w:val="000000000000"/>
              <w:rPr>
                <w:rFonts w:eastAsia="Times New Roman" w:cs="Arial"/>
                <w:b/>
              </w:rPr>
            </w:pPr>
            <w:r w:rsidRPr="0055691E">
              <w:rPr>
                <w:rFonts w:eastAsia="Times New Roman" w:cs="Arial"/>
                <w:b/>
              </w:rPr>
              <w:t>38</w:t>
            </w:r>
          </w:p>
        </w:tc>
        <w:tc>
          <w:tcPr>
            <w:tcW w:w="636" w:type="dxa"/>
            <w:vAlign w:val="center"/>
          </w:tcPr>
          <w:p w:rsidR="00200C73" w:rsidRPr="0055691E" w:rsidRDefault="008C0B3E" w:rsidP="00EB5AD0">
            <w:pPr>
              <w:pStyle w:val="MoEBodyText"/>
              <w:spacing w:after="120" w:line="240" w:lineRule="auto"/>
              <w:jc w:val="center"/>
              <w:cnfStyle w:val="000000000000"/>
              <w:rPr>
                <w:rFonts w:eastAsia="Times New Roman" w:cs="Arial"/>
                <w:b/>
              </w:rPr>
            </w:pPr>
            <w:r w:rsidRPr="0055691E">
              <w:rPr>
                <w:rFonts w:eastAsia="Times New Roman" w:cs="Arial"/>
                <w:b/>
              </w:rPr>
              <w:t>478</w:t>
            </w:r>
          </w:p>
        </w:tc>
      </w:tr>
    </w:tbl>
    <w:p w:rsidR="00200C73" w:rsidRPr="006D5396" w:rsidRDefault="00200C73" w:rsidP="006D5396">
      <w:pPr>
        <w:pStyle w:val="MoENumberedList"/>
        <w:numPr>
          <w:ilvl w:val="0"/>
          <w:numId w:val="0"/>
        </w:numPr>
        <w:spacing w:after="0"/>
        <w:ind w:left="360"/>
        <w:jc w:val="both"/>
        <w:rPr>
          <w:rFonts w:cs="Arial"/>
          <w:sz w:val="16"/>
          <w:szCs w:val="16"/>
        </w:rPr>
      </w:pPr>
    </w:p>
    <w:p w:rsidR="008759B7" w:rsidRDefault="008759B7" w:rsidP="00726978">
      <w:pPr>
        <w:spacing w:after="0" w:line="240" w:lineRule="auto"/>
        <w:jc w:val="both"/>
        <w:rPr>
          <w:rFonts w:ascii="Arial" w:hAnsi="Arial" w:cs="Arial"/>
        </w:rPr>
      </w:pPr>
    </w:p>
    <w:p w:rsidR="00BE685D" w:rsidRDefault="0097567E" w:rsidP="00726978">
      <w:pPr>
        <w:spacing w:after="0" w:line="240" w:lineRule="auto"/>
        <w:jc w:val="both"/>
        <w:rPr>
          <w:rFonts w:ascii="Arial" w:hAnsi="Arial" w:cs="Arial"/>
        </w:rPr>
      </w:pPr>
      <w:r>
        <w:rPr>
          <w:rFonts w:ascii="Arial" w:hAnsi="Arial" w:cs="Arial"/>
        </w:rPr>
        <w:t>The maximum funding a</w:t>
      </w:r>
      <w:r w:rsidR="00F10900">
        <w:rPr>
          <w:rFonts w:ascii="Arial" w:hAnsi="Arial" w:cs="Arial"/>
        </w:rPr>
        <w:t>n</w:t>
      </w:r>
      <w:r>
        <w:rPr>
          <w:rFonts w:ascii="Arial" w:hAnsi="Arial" w:cs="Arial"/>
        </w:rPr>
        <w:t xml:space="preserve"> </w:t>
      </w:r>
      <w:r w:rsidR="00B835AE">
        <w:rPr>
          <w:rFonts w:ascii="Arial" w:hAnsi="Arial"/>
        </w:rPr>
        <w:t xml:space="preserve">early learning </w:t>
      </w:r>
      <w:r>
        <w:rPr>
          <w:rFonts w:ascii="Arial" w:hAnsi="Arial" w:cs="Arial"/>
        </w:rPr>
        <w:t>service can receive from Equity Component D is $3,485. In 201</w:t>
      </w:r>
      <w:r w:rsidR="0063740D">
        <w:rPr>
          <w:rFonts w:ascii="Arial" w:hAnsi="Arial" w:cs="Arial"/>
        </w:rPr>
        <w:t>4</w:t>
      </w:r>
      <w:r>
        <w:rPr>
          <w:rFonts w:ascii="Arial" w:hAnsi="Arial" w:cs="Arial"/>
        </w:rPr>
        <w:t>/1</w:t>
      </w:r>
      <w:r w:rsidR="0063740D">
        <w:rPr>
          <w:rFonts w:ascii="Arial" w:hAnsi="Arial" w:cs="Arial"/>
        </w:rPr>
        <w:t>5</w:t>
      </w:r>
      <w:r>
        <w:rPr>
          <w:rFonts w:ascii="Arial" w:hAnsi="Arial" w:cs="Arial"/>
        </w:rPr>
        <w:t xml:space="preserve">, </w:t>
      </w:r>
      <w:r w:rsidRPr="00F656E9">
        <w:rPr>
          <w:rFonts w:ascii="Arial" w:hAnsi="Arial" w:cs="Arial"/>
        </w:rPr>
        <w:t xml:space="preserve">Equity Funding Component D comprised </w:t>
      </w:r>
      <w:r w:rsidR="0063740D">
        <w:rPr>
          <w:rFonts w:ascii="Arial" w:hAnsi="Arial" w:cs="Arial"/>
        </w:rPr>
        <w:t>1.4</w:t>
      </w:r>
      <w:r w:rsidR="004678DB">
        <w:rPr>
          <w:rFonts w:ascii="Arial" w:hAnsi="Arial" w:cs="Arial"/>
        </w:rPr>
        <w:t>%</w:t>
      </w:r>
      <w:r w:rsidR="00E2509E">
        <w:rPr>
          <w:rFonts w:ascii="Arial" w:hAnsi="Arial" w:cs="Arial"/>
        </w:rPr>
        <w:t xml:space="preserve"> </w:t>
      </w:r>
      <w:r w:rsidRPr="00F656E9">
        <w:rPr>
          <w:rFonts w:ascii="Arial" w:hAnsi="Arial" w:cs="Arial"/>
        </w:rPr>
        <w:t xml:space="preserve">of total </w:t>
      </w:r>
      <w:r>
        <w:rPr>
          <w:rFonts w:ascii="Arial" w:hAnsi="Arial" w:cs="Arial"/>
        </w:rPr>
        <w:t>g</w:t>
      </w:r>
      <w:r w:rsidRPr="00F656E9">
        <w:rPr>
          <w:rFonts w:ascii="Arial" w:hAnsi="Arial" w:cs="Arial"/>
        </w:rPr>
        <w:t>overnment funding to playcentr</w:t>
      </w:r>
      <w:r w:rsidR="0063740D">
        <w:rPr>
          <w:rFonts w:ascii="Arial" w:hAnsi="Arial" w:cs="Arial"/>
        </w:rPr>
        <w:t>e</w:t>
      </w:r>
      <w:r w:rsidRPr="00F656E9">
        <w:rPr>
          <w:rFonts w:ascii="Arial" w:hAnsi="Arial" w:cs="Arial"/>
        </w:rPr>
        <w:t xml:space="preserve">s </w:t>
      </w:r>
      <w:r>
        <w:rPr>
          <w:rFonts w:ascii="Arial" w:hAnsi="Arial" w:cs="Arial"/>
        </w:rPr>
        <w:t xml:space="preserve">and </w:t>
      </w:r>
      <w:r w:rsidR="0063740D">
        <w:rPr>
          <w:rFonts w:ascii="Arial" w:hAnsi="Arial" w:cs="Arial"/>
        </w:rPr>
        <w:t>0.4</w:t>
      </w:r>
      <w:r w:rsidR="004678DB">
        <w:rPr>
          <w:rFonts w:ascii="Arial" w:hAnsi="Arial" w:cs="Arial"/>
        </w:rPr>
        <w:t>%</w:t>
      </w:r>
      <w:r w:rsidR="00E40225">
        <w:rPr>
          <w:rFonts w:ascii="Arial" w:hAnsi="Arial" w:cs="Arial"/>
        </w:rPr>
        <w:t xml:space="preserve"> of total g</w:t>
      </w:r>
      <w:r w:rsidRPr="00F656E9">
        <w:rPr>
          <w:rFonts w:ascii="Arial" w:hAnsi="Arial" w:cs="Arial"/>
        </w:rPr>
        <w:t xml:space="preserve">overnment funding to </w:t>
      </w:r>
      <w:r w:rsidR="004678DB">
        <w:rPr>
          <w:rFonts w:ascii="Arial" w:hAnsi="Arial" w:cs="Arial"/>
        </w:rPr>
        <w:t>K</w:t>
      </w:r>
      <w:r w:rsidRPr="00F656E9">
        <w:rPr>
          <w:rFonts w:ascii="Arial" w:hAnsi="Arial" w:cs="Arial"/>
        </w:rPr>
        <w:t xml:space="preserve">ōhanga </w:t>
      </w:r>
      <w:r w:rsidR="009F395E">
        <w:rPr>
          <w:rFonts w:ascii="Arial" w:hAnsi="Arial" w:cs="Arial"/>
        </w:rPr>
        <w:t>R</w:t>
      </w:r>
      <w:r w:rsidRPr="00F656E9">
        <w:rPr>
          <w:rFonts w:ascii="Arial" w:hAnsi="Arial" w:cs="Arial"/>
        </w:rPr>
        <w:t>eo</w:t>
      </w:r>
      <w:r>
        <w:rPr>
          <w:rFonts w:ascii="Arial" w:hAnsi="Arial" w:cs="Arial"/>
        </w:rPr>
        <w:t>. Equity Funding Component D</w:t>
      </w:r>
      <w:r w:rsidR="00005464">
        <w:rPr>
          <w:rFonts w:ascii="Arial" w:hAnsi="Arial" w:cs="Arial"/>
        </w:rPr>
        <w:t xml:space="preserve"> has material implications for the funding of </w:t>
      </w:r>
      <w:r w:rsidR="00BE685D" w:rsidRPr="00025A03">
        <w:rPr>
          <w:rFonts w:ascii="Arial" w:hAnsi="Arial" w:cs="Arial"/>
        </w:rPr>
        <w:t xml:space="preserve">very </w:t>
      </w:r>
      <w:r w:rsidR="00BE685D">
        <w:rPr>
          <w:rFonts w:ascii="Arial" w:hAnsi="Arial" w:cs="Arial"/>
        </w:rPr>
        <w:t>isolated</w:t>
      </w:r>
      <w:r w:rsidR="00BE685D" w:rsidRPr="00025A03">
        <w:rPr>
          <w:rFonts w:ascii="Arial" w:hAnsi="Arial" w:cs="Arial"/>
        </w:rPr>
        <w:t xml:space="preserve"> </w:t>
      </w:r>
      <w:r w:rsidR="00B835AE">
        <w:rPr>
          <w:rFonts w:ascii="Arial" w:hAnsi="Arial"/>
        </w:rPr>
        <w:t>early learning</w:t>
      </w:r>
      <w:r w:rsidR="00BE685D" w:rsidRPr="00025A03">
        <w:rPr>
          <w:rFonts w:ascii="Arial" w:hAnsi="Arial" w:cs="Arial"/>
        </w:rPr>
        <w:t xml:space="preserve"> services</w:t>
      </w:r>
      <w:r w:rsidR="00BE685D">
        <w:rPr>
          <w:rFonts w:ascii="Arial" w:hAnsi="Arial" w:cs="Arial"/>
        </w:rPr>
        <w:t>, which also tend to be smaller</w:t>
      </w:r>
      <w:r w:rsidR="00BE685D" w:rsidRPr="00025A03">
        <w:rPr>
          <w:rFonts w:ascii="Arial" w:hAnsi="Arial" w:cs="Arial"/>
        </w:rPr>
        <w:t>.</w:t>
      </w:r>
    </w:p>
    <w:p w:rsidR="004F7FCC" w:rsidRDefault="004F7FCC" w:rsidP="00726978">
      <w:pPr>
        <w:spacing w:after="0" w:line="240" w:lineRule="auto"/>
        <w:jc w:val="both"/>
        <w:rPr>
          <w:rFonts w:ascii="Arial" w:hAnsi="Arial" w:cs="Arial"/>
        </w:rPr>
      </w:pPr>
    </w:p>
    <w:p w:rsidR="00F02FAF" w:rsidRDefault="00F02FAF" w:rsidP="00726978">
      <w:pPr>
        <w:spacing w:after="0" w:line="240" w:lineRule="auto"/>
        <w:jc w:val="both"/>
        <w:rPr>
          <w:rFonts w:ascii="Arial" w:hAnsi="Arial" w:cs="Arial"/>
        </w:rPr>
      </w:pPr>
      <w:r>
        <w:rPr>
          <w:rFonts w:ascii="Arial" w:hAnsi="Arial" w:cs="Arial"/>
        </w:rPr>
        <w:t xml:space="preserve">In both the school and </w:t>
      </w:r>
      <w:r w:rsidR="00B835AE">
        <w:rPr>
          <w:rFonts w:ascii="Arial" w:hAnsi="Arial"/>
        </w:rPr>
        <w:t>early learning</w:t>
      </w:r>
      <w:r>
        <w:rPr>
          <w:rFonts w:ascii="Arial" w:hAnsi="Arial" w:cs="Arial"/>
        </w:rPr>
        <w:t xml:space="preserve"> sector, the isolation index used to determine funding is based on Census 2001 population data. If the index were updated</w:t>
      </w:r>
      <w:r w:rsidR="00B83A0D">
        <w:rPr>
          <w:rFonts w:ascii="Arial" w:hAnsi="Arial" w:cs="Arial"/>
        </w:rPr>
        <w:t>,</w:t>
      </w:r>
      <w:r w:rsidR="00DC76FF">
        <w:rPr>
          <w:rFonts w:ascii="Arial" w:hAnsi="Arial" w:cs="Arial"/>
        </w:rPr>
        <w:t xml:space="preserve"> </w:t>
      </w:r>
      <w:r w:rsidR="00F10900">
        <w:rPr>
          <w:rFonts w:ascii="Arial" w:hAnsi="Arial" w:cs="Arial"/>
        </w:rPr>
        <w:t>based on Census 2013</w:t>
      </w:r>
      <w:r w:rsidR="004E1D22">
        <w:rPr>
          <w:rFonts w:ascii="Arial" w:hAnsi="Arial" w:cs="Arial"/>
        </w:rPr>
        <w:t xml:space="preserve"> population data</w:t>
      </w:r>
      <w:r w:rsidR="00B83A0D">
        <w:rPr>
          <w:rFonts w:ascii="Arial" w:hAnsi="Arial" w:cs="Arial"/>
        </w:rPr>
        <w:t>,</w:t>
      </w:r>
      <w:r w:rsidR="00F10900">
        <w:rPr>
          <w:rFonts w:ascii="Arial" w:hAnsi="Arial" w:cs="Arial"/>
        </w:rPr>
        <w:t xml:space="preserve"> </w:t>
      </w:r>
      <w:r w:rsidR="0000307B">
        <w:rPr>
          <w:rFonts w:ascii="Arial" w:hAnsi="Arial" w:cs="Arial"/>
        </w:rPr>
        <w:t>an</w:t>
      </w:r>
      <w:r>
        <w:rPr>
          <w:rFonts w:ascii="Arial" w:hAnsi="Arial" w:cs="Arial"/>
        </w:rPr>
        <w:t xml:space="preserve"> estimate</w:t>
      </w:r>
      <w:r w:rsidR="0000307B">
        <w:rPr>
          <w:rFonts w:ascii="Arial" w:hAnsi="Arial" w:cs="Arial"/>
        </w:rPr>
        <w:t>d</w:t>
      </w:r>
      <w:r>
        <w:rPr>
          <w:rFonts w:ascii="Arial" w:hAnsi="Arial" w:cs="Arial"/>
        </w:rPr>
        <w:t xml:space="preserve"> </w:t>
      </w:r>
      <w:r w:rsidR="00F10900">
        <w:rPr>
          <w:rFonts w:ascii="Arial" w:hAnsi="Arial" w:cs="Arial"/>
        </w:rPr>
        <w:t>4</w:t>
      </w:r>
      <w:r w:rsidR="005B51D5">
        <w:rPr>
          <w:rFonts w:ascii="Arial" w:hAnsi="Arial" w:cs="Arial"/>
        </w:rPr>
        <w:t>38</w:t>
      </w:r>
      <w:r w:rsidR="00F10900">
        <w:rPr>
          <w:rFonts w:ascii="Arial" w:hAnsi="Arial" w:cs="Arial"/>
        </w:rPr>
        <w:t xml:space="preserve"> </w:t>
      </w:r>
      <w:r>
        <w:rPr>
          <w:rFonts w:ascii="Arial" w:hAnsi="Arial" w:cs="Arial"/>
        </w:rPr>
        <w:t xml:space="preserve">schools would receive Targeted Funding for Isolation. A key driver of the change is that since 2001, the population of Tauranga has increased to more than 100,000. </w:t>
      </w:r>
    </w:p>
    <w:p w:rsidR="00726978" w:rsidRPr="008F3660" w:rsidRDefault="00726978" w:rsidP="00726978">
      <w:pPr>
        <w:spacing w:after="0" w:line="240" w:lineRule="auto"/>
        <w:jc w:val="both"/>
        <w:rPr>
          <w:rFonts w:ascii="Arial" w:hAnsi="Arial" w:cs="Arial"/>
        </w:rPr>
      </w:pPr>
    </w:p>
    <w:p w:rsidR="00F02FAF" w:rsidRDefault="00F02FAF" w:rsidP="00726978">
      <w:pPr>
        <w:pStyle w:val="BlueSubheading3"/>
        <w:spacing w:before="0" w:after="0"/>
        <w:rPr>
          <w:sz w:val="24"/>
        </w:rPr>
      </w:pPr>
      <w:r w:rsidRPr="00F02FAF">
        <w:rPr>
          <w:sz w:val="24"/>
        </w:rPr>
        <w:t xml:space="preserve">2006 Review </w:t>
      </w:r>
    </w:p>
    <w:p w:rsidR="00726978" w:rsidRPr="008F3660" w:rsidRDefault="00726978" w:rsidP="00726978">
      <w:pPr>
        <w:pStyle w:val="BlueSubheading3"/>
        <w:spacing w:before="0" w:after="0"/>
        <w:rPr>
          <w:sz w:val="22"/>
        </w:rPr>
      </w:pPr>
    </w:p>
    <w:p w:rsidR="006A1BE8" w:rsidRDefault="00F02FAF" w:rsidP="00726978">
      <w:pPr>
        <w:spacing w:after="0" w:line="240" w:lineRule="auto"/>
        <w:jc w:val="both"/>
        <w:rPr>
          <w:rFonts w:ascii="Arial" w:hAnsi="Arial" w:cs="Arial"/>
        </w:rPr>
      </w:pPr>
      <w:r w:rsidRPr="006A1BE8">
        <w:rPr>
          <w:rFonts w:ascii="Arial" w:hAnsi="Arial" w:cs="Arial"/>
        </w:rPr>
        <w:t xml:space="preserve">A review of the isolation index was undertaken in 2006 but </w:t>
      </w:r>
      <w:r w:rsidR="006A1BE8" w:rsidRPr="006A1BE8">
        <w:rPr>
          <w:rFonts w:ascii="Arial" w:hAnsi="Arial" w:cs="Arial"/>
        </w:rPr>
        <w:t xml:space="preserve">no changes were implemented. </w:t>
      </w:r>
      <w:r w:rsidR="001A1429">
        <w:rPr>
          <w:rFonts w:ascii="Arial" w:hAnsi="Arial" w:cs="Arial"/>
        </w:rPr>
        <w:t>The review explored a</w:t>
      </w:r>
      <w:r w:rsidR="006A1BE8" w:rsidRPr="006A1BE8">
        <w:rPr>
          <w:rFonts w:ascii="Arial" w:hAnsi="Arial" w:cs="Arial"/>
        </w:rPr>
        <w:t xml:space="preserve"> formula based on distance from population centres of 30,000, 10,000, 5,000 and 1,000 people, with the threshold for</w:t>
      </w:r>
      <w:r w:rsidR="00DC76FF">
        <w:rPr>
          <w:rFonts w:ascii="Arial" w:hAnsi="Arial" w:cs="Arial"/>
        </w:rPr>
        <w:t xml:space="preserve"> eligibility for T</w:t>
      </w:r>
      <w:r w:rsidR="009F395E">
        <w:rPr>
          <w:rFonts w:ascii="Arial" w:hAnsi="Arial" w:cs="Arial"/>
        </w:rPr>
        <w:t xml:space="preserve">argeted </w:t>
      </w:r>
      <w:r w:rsidR="00DC76FF">
        <w:rPr>
          <w:rFonts w:ascii="Arial" w:hAnsi="Arial" w:cs="Arial"/>
        </w:rPr>
        <w:t>F</w:t>
      </w:r>
      <w:r w:rsidR="009F395E">
        <w:rPr>
          <w:rFonts w:ascii="Arial" w:hAnsi="Arial" w:cs="Arial"/>
        </w:rPr>
        <w:t>unding for Isolation</w:t>
      </w:r>
      <w:r w:rsidR="00DC76FF">
        <w:rPr>
          <w:rFonts w:ascii="Arial" w:hAnsi="Arial" w:cs="Arial"/>
        </w:rPr>
        <w:t xml:space="preserve"> set at 0.8.</w:t>
      </w:r>
      <w:r w:rsidR="006A1BE8">
        <w:rPr>
          <w:rFonts w:ascii="Arial" w:hAnsi="Arial" w:cs="Arial"/>
        </w:rPr>
        <w:t xml:space="preserve"> The suggested formula placed greater weight towards centres with populations of at least 10,000. Reponses to a school survey undertaken as part of the review indicated that schools could access the majority of the services they required from centres with populations of at least 10,000.</w:t>
      </w:r>
    </w:p>
    <w:p w:rsidR="00726978" w:rsidRPr="008F3660" w:rsidRDefault="00726978" w:rsidP="00726978">
      <w:pPr>
        <w:spacing w:after="0" w:line="240" w:lineRule="auto"/>
        <w:jc w:val="both"/>
        <w:rPr>
          <w:rFonts w:ascii="Arial" w:hAnsi="Arial" w:cs="Arial"/>
        </w:rPr>
      </w:pPr>
    </w:p>
    <w:p w:rsidR="00E94D9E" w:rsidRDefault="00E94D9E" w:rsidP="00726978">
      <w:pPr>
        <w:pStyle w:val="BlueSubheading3"/>
        <w:spacing w:before="0" w:after="0"/>
        <w:rPr>
          <w:sz w:val="24"/>
        </w:rPr>
      </w:pPr>
      <w:bookmarkStart w:id="1" w:name="_Toc443578259"/>
      <w:bookmarkStart w:id="2" w:name="_Toc443578256"/>
      <w:bookmarkEnd w:id="0"/>
      <w:r w:rsidRPr="003515C9">
        <w:rPr>
          <w:sz w:val="24"/>
        </w:rPr>
        <w:t xml:space="preserve">Costs </w:t>
      </w:r>
      <w:r w:rsidR="00005464">
        <w:rPr>
          <w:sz w:val="24"/>
        </w:rPr>
        <w:t xml:space="preserve">of isolation for schools </w:t>
      </w:r>
      <w:bookmarkEnd w:id="1"/>
    </w:p>
    <w:p w:rsidR="00726978" w:rsidRPr="008F3660" w:rsidRDefault="00726978" w:rsidP="00726978">
      <w:pPr>
        <w:pStyle w:val="BlueSubheading3"/>
        <w:spacing w:before="0" w:after="0"/>
        <w:rPr>
          <w:sz w:val="22"/>
        </w:rPr>
      </w:pPr>
    </w:p>
    <w:p w:rsidR="00726978" w:rsidRDefault="00E94D9E" w:rsidP="00726978">
      <w:pPr>
        <w:spacing w:after="0"/>
        <w:jc w:val="both"/>
        <w:rPr>
          <w:rFonts w:ascii="Arial" w:hAnsi="Arial" w:cs="Arial"/>
        </w:rPr>
      </w:pPr>
      <w:r w:rsidRPr="002608FB">
        <w:rPr>
          <w:rFonts w:ascii="Arial" w:hAnsi="Arial" w:cs="Arial"/>
        </w:rPr>
        <w:t>There are two broad categories of costs that schools</w:t>
      </w:r>
      <w:r w:rsidR="00B2052C">
        <w:rPr>
          <w:rFonts w:ascii="Arial" w:hAnsi="Arial" w:cs="Arial"/>
        </w:rPr>
        <w:t xml:space="preserve"> and </w:t>
      </w:r>
      <w:r w:rsidR="00B835AE">
        <w:rPr>
          <w:rFonts w:ascii="Arial" w:hAnsi="Arial"/>
        </w:rPr>
        <w:t>early learning</w:t>
      </w:r>
      <w:r w:rsidRPr="002608FB">
        <w:rPr>
          <w:rFonts w:ascii="Arial" w:hAnsi="Arial" w:cs="Arial"/>
        </w:rPr>
        <w:t xml:space="preserve"> </w:t>
      </w:r>
      <w:r w:rsidR="00DC76FF">
        <w:rPr>
          <w:rFonts w:ascii="Arial" w:hAnsi="Arial" w:cs="Arial"/>
        </w:rPr>
        <w:t xml:space="preserve">services </w:t>
      </w:r>
      <w:r w:rsidRPr="002608FB">
        <w:rPr>
          <w:rFonts w:ascii="Arial" w:hAnsi="Arial" w:cs="Arial"/>
        </w:rPr>
        <w:t>in isolated locations face – costs relating to teaching and learning</w:t>
      </w:r>
      <w:r w:rsidR="009F395E">
        <w:rPr>
          <w:rFonts w:ascii="Arial" w:hAnsi="Arial" w:cs="Arial"/>
        </w:rPr>
        <w:t xml:space="preserve"> and to accessing</w:t>
      </w:r>
      <w:r w:rsidRPr="002608FB">
        <w:rPr>
          <w:rFonts w:ascii="Arial" w:hAnsi="Arial" w:cs="Arial"/>
        </w:rPr>
        <w:t xml:space="preserve"> trades and services. These costs</w:t>
      </w:r>
      <w:r w:rsidR="00B2052C">
        <w:rPr>
          <w:rFonts w:ascii="Arial" w:hAnsi="Arial" w:cs="Arial"/>
        </w:rPr>
        <w:t xml:space="preserve"> are set out in </w:t>
      </w:r>
      <w:r w:rsidR="00EB5AD0">
        <w:rPr>
          <w:rFonts w:ascii="Arial" w:hAnsi="Arial" w:cs="Arial"/>
        </w:rPr>
        <w:t>Table 3</w:t>
      </w:r>
      <w:r w:rsidR="00F02FAF">
        <w:rPr>
          <w:rFonts w:ascii="Arial" w:hAnsi="Arial" w:cs="Arial"/>
        </w:rPr>
        <w:t>.</w:t>
      </w:r>
    </w:p>
    <w:p w:rsidR="008759B7" w:rsidRDefault="00814EBD" w:rsidP="00814EBD">
      <w:pPr>
        <w:spacing w:after="0" w:line="240" w:lineRule="auto"/>
        <w:jc w:val="center"/>
        <w:rPr>
          <w:rFonts w:ascii="Arial" w:hAnsi="Arial" w:cs="Arial"/>
          <w:b/>
          <w:sz w:val="20"/>
          <w:szCs w:val="20"/>
        </w:rPr>
      </w:pPr>
      <w:r>
        <w:rPr>
          <w:rFonts w:ascii="Arial" w:hAnsi="Arial" w:cs="Arial"/>
          <w:b/>
          <w:sz w:val="20"/>
          <w:szCs w:val="20"/>
        </w:rPr>
        <w:br/>
      </w:r>
    </w:p>
    <w:p w:rsidR="00E94D9E" w:rsidRDefault="008759B7" w:rsidP="00814EBD">
      <w:pPr>
        <w:spacing w:after="0" w:line="240" w:lineRule="auto"/>
        <w:jc w:val="center"/>
        <w:rPr>
          <w:rFonts w:ascii="Arial" w:hAnsi="Arial" w:cs="Arial"/>
          <w:b/>
          <w:sz w:val="20"/>
          <w:szCs w:val="20"/>
        </w:rPr>
      </w:pPr>
      <w:r>
        <w:rPr>
          <w:rFonts w:ascii="Arial" w:hAnsi="Arial" w:cs="Arial"/>
          <w:b/>
          <w:sz w:val="20"/>
          <w:szCs w:val="20"/>
        </w:rPr>
        <w:br w:type="column"/>
      </w:r>
      <w:r w:rsidR="00E40225">
        <w:rPr>
          <w:rFonts w:ascii="Arial" w:hAnsi="Arial" w:cs="Arial"/>
          <w:b/>
          <w:sz w:val="20"/>
          <w:szCs w:val="20"/>
        </w:rPr>
        <w:t>Table 3</w:t>
      </w:r>
      <w:r w:rsidR="00E94D9E" w:rsidRPr="005F302E">
        <w:rPr>
          <w:rFonts w:ascii="Arial" w:hAnsi="Arial" w:cs="Arial"/>
          <w:b/>
          <w:sz w:val="20"/>
          <w:szCs w:val="20"/>
        </w:rPr>
        <w:t>: Costs affecting isolated schools</w:t>
      </w:r>
      <w:r w:rsidR="00B2052C">
        <w:rPr>
          <w:rFonts w:ascii="Arial" w:hAnsi="Arial" w:cs="Arial"/>
          <w:b/>
          <w:sz w:val="20"/>
          <w:szCs w:val="20"/>
        </w:rPr>
        <w:t xml:space="preserve"> and </w:t>
      </w:r>
      <w:r w:rsidR="00B835AE" w:rsidRPr="00B835AE">
        <w:rPr>
          <w:rFonts w:ascii="Arial" w:hAnsi="Arial" w:cs="Arial"/>
          <w:b/>
          <w:sz w:val="20"/>
          <w:szCs w:val="20"/>
        </w:rPr>
        <w:t>early learning</w:t>
      </w:r>
      <w:r w:rsidR="00B2052C">
        <w:rPr>
          <w:rFonts w:ascii="Arial" w:hAnsi="Arial" w:cs="Arial"/>
          <w:b/>
          <w:sz w:val="20"/>
          <w:szCs w:val="20"/>
        </w:rPr>
        <w:t xml:space="preserve"> services</w:t>
      </w:r>
    </w:p>
    <w:p w:rsidR="00726978" w:rsidRPr="00BC3763" w:rsidRDefault="00726978" w:rsidP="00726978">
      <w:pPr>
        <w:pStyle w:val="ListParagraph"/>
        <w:ind w:left="360" w:hanging="360"/>
        <w:rPr>
          <w:rFonts w:ascii="Arial" w:hAnsi="Arial" w:cs="Arial"/>
          <w:b/>
          <w:sz w:val="20"/>
          <w:szCs w:val="20"/>
        </w:rPr>
      </w:pPr>
    </w:p>
    <w:tbl>
      <w:tblPr>
        <w:tblStyle w:val="FiveGoals"/>
        <w:tblW w:w="9600" w:type="dxa"/>
        <w:jc w:val="center"/>
        <w:tblInd w:w="108" w:type="dxa"/>
        <w:tblLayout w:type="fixed"/>
        <w:tblLook w:val="04A0"/>
      </w:tblPr>
      <w:tblGrid>
        <w:gridCol w:w="811"/>
        <w:gridCol w:w="8789"/>
      </w:tblGrid>
      <w:tr w:rsidR="00E94D9E" w:rsidRPr="000F1390" w:rsidTr="00814EBD">
        <w:trPr>
          <w:cnfStyle w:val="100000000000"/>
          <w:jc w:val="center"/>
        </w:trPr>
        <w:tc>
          <w:tcPr>
            <w:cnfStyle w:val="001000000000"/>
            <w:tcW w:w="811" w:type="dxa"/>
          </w:tcPr>
          <w:p w:rsidR="00E94D9E" w:rsidRPr="000F1390" w:rsidRDefault="00E94D9E" w:rsidP="00E94D9E">
            <w:pPr>
              <w:jc w:val="both"/>
              <w:rPr>
                <w:rFonts w:cs="Arial"/>
              </w:rPr>
            </w:pPr>
          </w:p>
        </w:tc>
        <w:tc>
          <w:tcPr>
            <w:tcW w:w="8789" w:type="dxa"/>
          </w:tcPr>
          <w:p w:rsidR="00E94D9E" w:rsidRPr="000F1390" w:rsidRDefault="000F1390" w:rsidP="00546A65">
            <w:pPr>
              <w:pStyle w:val="ListParagraph"/>
              <w:spacing w:after="120"/>
              <w:ind w:left="0" w:right="34"/>
              <w:cnfStyle w:val="100000000000"/>
              <w:rPr>
                <w:rFonts w:ascii="Arial" w:hAnsi="Arial" w:cs="Arial"/>
                <w:sz w:val="20"/>
                <w:szCs w:val="20"/>
              </w:rPr>
            </w:pPr>
            <w:r w:rsidRPr="000F1390">
              <w:rPr>
                <w:rFonts w:ascii="Arial" w:hAnsi="Arial" w:cs="Arial"/>
                <w:sz w:val="20"/>
                <w:szCs w:val="20"/>
              </w:rPr>
              <w:t>Cost components</w:t>
            </w:r>
          </w:p>
        </w:tc>
      </w:tr>
      <w:tr w:rsidR="00E94D9E" w:rsidTr="00814EBD">
        <w:trPr>
          <w:jc w:val="center"/>
        </w:trPr>
        <w:tc>
          <w:tcPr>
            <w:cnfStyle w:val="001000000000"/>
            <w:tcW w:w="811" w:type="dxa"/>
            <w:vMerge w:val="restart"/>
            <w:textDirection w:val="btLr"/>
          </w:tcPr>
          <w:p w:rsidR="00E94D9E" w:rsidRDefault="00221BF8" w:rsidP="00E94D9E">
            <w:pPr>
              <w:ind w:right="113"/>
              <w:jc w:val="center"/>
              <w:rPr>
                <w:rFonts w:cs="Arial"/>
              </w:rPr>
            </w:pPr>
            <w:r>
              <w:rPr>
                <w:rFonts w:ascii="Arial" w:eastAsia="Times New Roman" w:hAnsi="Arial" w:cs="Arial"/>
                <w:color w:val="auto"/>
                <w:sz w:val="20"/>
                <w:szCs w:val="20"/>
              </w:rPr>
              <w:t>Teachi</w:t>
            </w:r>
            <w:r w:rsidR="00E94D9E" w:rsidRPr="008E6D10">
              <w:rPr>
                <w:rFonts w:ascii="Arial" w:eastAsia="Times New Roman" w:hAnsi="Arial" w:cs="Arial"/>
                <w:color w:val="auto"/>
                <w:sz w:val="20"/>
                <w:szCs w:val="20"/>
              </w:rPr>
              <w:t>ng and learning costs</w:t>
            </w:r>
          </w:p>
        </w:tc>
        <w:tc>
          <w:tcPr>
            <w:tcW w:w="8789" w:type="dxa"/>
          </w:tcPr>
          <w:p w:rsidR="00E94D9E" w:rsidRPr="008E6D10" w:rsidRDefault="00E94D9E" w:rsidP="00E94D9E">
            <w:pPr>
              <w:pStyle w:val="ListParagraph"/>
              <w:spacing w:before="0" w:after="120"/>
              <w:ind w:left="0"/>
              <w:cnfStyle w:val="000000000000"/>
              <w:rPr>
                <w:rFonts w:ascii="Arial" w:hAnsi="Arial" w:cs="Arial"/>
                <w:b/>
                <w:sz w:val="20"/>
                <w:szCs w:val="20"/>
              </w:rPr>
            </w:pPr>
            <w:r w:rsidRPr="008E6D10">
              <w:rPr>
                <w:rFonts w:ascii="Arial" w:hAnsi="Arial" w:cs="Arial"/>
                <w:b/>
                <w:sz w:val="20"/>
                <w:szCs w:val="20"/>
              </w:rPr>
              <w:t>Access to P</w:t>
            </w:r>
            <w:r w:rsidR="00EB5AD0">
              <w:rPr>
                <w:rFonts w:ascii="Arial" w:hAnsi="Arial" w:cs="Arial"/>
                <w:b/>
                <w:sz w:val="20"/>
                <w:szCs w:val="20"/>
              </w:rPr>
              <w:t xml:space="preserve">rofessional </w:t>
            </w:r>
            <w:r w:rsidRPr="008E6D10">
              <w:rPr>
                <w:rFonts w:ascii="Arial" w:hAnsi="Arial" w:cs="Arial"/>
                <w:b/>
                <w:sz w:val="20"/>
                <w:szCs w:val="20"/>
              </w:rPr>
              <w:t>L</w:t>
            </w:r>
            <w:r w:rsidR="00EB5AD0">
              <w:rPr>
                <w:rFonts w:ascii="Arial" w:hAnsi="Arial" w:cs="Arial"/>
                <w:b/>
                <w:sz w:val="20"/>
                <w:szCs w:val="20"/>
              </w:rPr>
              <w:t xml:space="preserve">earning and </w:t>
            </w:r>
            <w:r w:rsidRPr="008E6D10">
              <w:rPr>
                <w:rFonts w:ascii="Arial" w:hAnsi="Arial" w:cs="Arial"/>
                <w:b/>
                <w:sz w:val="20"/>
                <w:szCs w:val="20"/>
              </w:rPr>
              <w:t>D</w:t>
            </w:r>
            <w:r w:rsidR="00EB5AD0">
              <w:rPr>
                <w:rFonts w:ascii="Arial" w:hAnsi="Arial" w:cs="Arial"/>
                <w:b/>
                <w:sz w:val="20"/>
                <w:szCs w:val="20"/>
              </w:rPr>
              <w:t>evelopment (PLD)</w:t>
            </w:r>
            <w:r w:rsidRPr="008E6D10">
              <w:rPr>
                <w:rFonts w:ascii="Arial" w:hAnsi="Arial" w:cs="Arial"/>
                <w:b/>
                <w:sz w:val="20"/>
                <w:szCs w:val="20"/>
              </w:rPr>
              <w:t xml:space="preserve"> seminars, networking opportunities, meetings, etc.</w:t>
            </w:r>
          </w:p>
          <w:p w:rsidR="00E94D9E" w:rsidRPr="008E6D10" w:rsidRDefault="00E94D9E" w:rsidP="00E94D9E">
            <w:pPr>
              <w:pStyle w:val="ListParagraph"/>
              <w:numPr>
                <w:ilvl w:val="0"/>
                <w:numId w:val="13"/>
              </w:numPr>
              <w:spacing w:before="0" w:after="120"/>
              <w:cnfStyle w:val="000000000000"/>
              <w:rPr>
                <w:rFonts w:ascii="Arial" w:hAnsi="Arial" w:cs="Arial"/>
                <w:sz w:val="20"/>
                <w:szCs w:val="20"/>
              </w:rPr>
            </w:pPr>
            <w:r w:rsidRPr="008E6D10">
              <w:rPr>
                <w:rFonts w:ascii="Arial" w:hAnsi="Arial" w:cs="Arial"/>
                <w:sz w:val="20"/>
                <w:szCs w:val="20"/>
              </w:rPr>
              <w:t xml:space="preserve">Travel time, cost </w:t>
            </w:r>
            <w:r w:rsidR="00674513">
              <w:rPr>
                <w:rFonts w:ascii="Arial" w:hAnsi="Arial" w:cs="Arial"/>
                <w:sz w:val="20"/>
                <w:szCs w:val="20"/>
              </w:rPr>
              <w:t xml:space="preserve">(including additional relief teacher costs) </w:t>
            </w:r>
            <w:r w:rsidRPr="008E6D10">
              <w:rPr>
                <w:rFonts w:ascii="Arial" w:hAnsi="Arial" w:cs="Arial"/>
                <w:sz w:val="20"/>
                <w:szCs w:val="20"/>
              </w:rPr>
              <w:t>and difficulty (road conditions</w:t>
            </w:r>
            <w:r w:rsidR="009F395E">
              <w:rPr>
                <w:rFonts w:ascii="Arial" w:hAnsi="Arial" w:cs="Arial"/>
                <w:sz w:val="20"/>
                <w:szCs w:val="20"/>
              </w:rPr>
              <w:t>)</w:t>
            </w:r>
            <w:r w:rsidR="00674513">
              <w:rPr>
                <w:rFonts w:ascii="Arial" w:hAnsi="Arial" w:cs="Arial"/>
                <w:sz w:val="20"/>
                <w:szCs w:val="20"/>
              </w:rPr>
              <w:t>.</w:t>
            </w:r>
          </w:p>
          <w:p w:rsidR="00E94D9E" w:rsidRPr="008E6D10" w:rsidRDefault="00E94D9E" w:rsidP="00E94D9E">
            <w:pPr>
              <w:pStyle w:val="ListParagraph"/>
              <w:numPr>
                <w:ilvl w:val="0"/>
                <w:numId w:val="13"/>
              </w:numPr>
              <w:spacing w:before="0" w:after="120"/>
              <w:cnfStyle w:val="000000000000"/>
              <w:rPr>
                <w:rFonts w:ascii="Arial" w:hAnsi="Arial" w:cs="Arial"/>
                <w:sz w:val="20"/>
                <w:szCs w:val="20"/>
              </w:rPr>
            </w:pPr>
            <w:r w:rsidRPr="008E6D10">
              <w:rPr>
                <w:rFonts w:ascii="Arial" w:hAnsi="Arial" w:cs="Arial"/>
                <w:sz w:val="20"/>
                <w:szCs w:val="20"/>
              </w:rPr>
              <w:t>Can mean staff</w:t>
            </w:r>
            <w:r w:rsidR="00674513">
              <w:rPr>
                <w:rFonts w:ascii="Arial" w:hAnsi="Arial" w:cs="Arial"/>
                <w:sz w:val="20"/>
                <w:szCs w:val="20"/>
              </w:rPr>
              <w:t xml:space="preserve"> </w:t>
            </w:r>
            <w:r w:rsidR="00DC76FF">
              <w:rPr>
                <w:rFonts w:ascii="Arial" w:hAnsi="Arial" w:cs="Arial"/>
                <w:sz w:val="20"/>
                <w:szCs w:val="20"/>
              </w:rPr>
              <w:t xml:space="preserve">can </w:t>
            </w:r>
            <w:r w:rsidRPr="008E6D10">
              <w:rPr>
                <w:rFonts w:ascii="Arial" w:hAnsi="Arial" w:cs="Arial"/>
                <w:sz w:val="20"/>
                <w:szCs w:val="20"/>
              </w:rPr>
              <w:t>miss opportunities – restricts teacher participation, connectivity and development.</w:t>
            </w:r>
          </w:p>
          <w:p w:rsidR="00E94D9E" w:rsidRPr="008E6D10" w:rsidRDefault="00E94D9E" w:rsidP="00E94D9E">
            <w:pPr>
              <w:pStyle w:val="ListParagraph"/>
              <w:numPr>
                <w:ilvl w:val="0"/>
                <w:numId w:val="13"/>
              </w:numPr>
              <w:spacing w:before="0" w:after="120"/>
              <w:cnfStyle w:val="000000000000"/>
              <w:rPr>
                <w:rFonts w:ascii="Arial" w:hAnsi="Arial" w:cs="Arial"/>
                <w:sz w:val="20"/>
                <w:szCs w:val="20"/>
              </w:rPr>
            </w:pPr>
            <w:r w:rsidRPr="008E6D10">
              <w:rPr>
                <w:rFonts w:ascii="Arial" w:hAnsi="Arial" w:cs="Arial"/>
                <w:sz w:val="20"/>
                <w:szCs w:val="20"/>
              </w:rPr>
              <w:t>PLD providers can be unwilling to travel to very isolated schools.</w:t>
            </w:r>
          </w:p>
          <w:p w:rsidR="00E94D9E" w:rsidRPr="00B2052C" w:rsidRDefault="00E94D9E" w:rsidP="00DC76FF">
            <w:pPr>
              <w:pStyle w:val="ListParagraph"/>
              <w:numPr>
                <w:ilvl w:val="0"/>
                <w:numId w:val="13"/>
              </w:numPr>
              <w:spacing w:before="0" w:after="120"/>
              <w:cnfStyle w:val="000000000000"/>
              <w:rPr>
                <w:rFonts w:ascii="Arial" w:hAnsi="Arial" w:cs="Arial"/>
                <w:sz w:val="20"/>
                <w:szCs w:val="20"/>
              </w:rPr>
            </w:pPr>
            <w:r w:rsidRPr="008E6D10">
              <w:rPr>
                <w:rFonts w:ascii="Arial" w:hAnsi="Arial" w:cs="Arial"/>
                <w:sz w:val="20"/>
                <w:szCs w:val="20"/>
              </w:rPr>
              <w:t xml:space="preserve">Technology not always a solution (slow and unstable internet connections, </w:t>
            </w:r>
            <w:r w:rsidR="003710B8">
              <w:rPr>
                <w:rFonts w:ascii="Arial" w:hAnsi="Arial" w:cs="Arial"/>
                <w:sz w:val="20"/>
                <w:szCs w:val="20"/>
              </w:rPr>
              <w:t>maintenance of internal</w:t>
            </w:r>
            <w:r w:rsidRPr="008E6D10">
              <w:rPr>
                <w:rFonts w:ascii="Arial" w:hAnsi="Arial" w:cs="Arial"/>
                <w:sz w:val="20"/>
                <w:szCs w:val="20"/>
              </w:rPr>
              <w:t xml:space="preserve"> infrastructure</w:t>
            </w:r>
            <w:r w:rsidR="003710B8">
              <w:rPr>
                <w:rFonts w:ascii="Arial" w:hAnsi="Arial" w:cs="Arial"/>
                <w:sz w:val="20"/>
                <w:szCs w:val="20"/>
              </w:rPr>
              <w:t xml:space="preserve">, </w:t>
            </w:r>
            <w:r w:rsidR="000F1390">
              <w:rPr>
                <w:rFonts w:ascii="Arial" w:hAnsi="Arial" w:cs="Arial"/>
                <w:sz w:val="20"/>
                <w:szCs w:val="20"/>
              </w:rPr>
              <w:t xml:space="preserve">ability to </w:t>
            </w:r>
            <w:r w:rsidR="003710B8">
              <w:rPr>
                <w:rFonts w:ascii="Arial" w:hAnsi="Arial" w:cs="Arial"/>
                <w:sz w:val="20"/>
                <w:szCs w:val="20"/>
              </w:rPr>
              <w:t>access good advice on purchase decisions</w:t>
            </w:r>
            <w:r w:rsidRPr="008E6D10">
              <w:rPr>
                <w:rFonts w:ascii="Arial" w:hAnsi="Arial" w:cs="Arial"/>
                <w:sz w:val="20"/>
                <w:szCs w:val="20"/>
              </w:rPr>
              <w:t>).</w:t>
            </w:r>
          </w:p>
        </w:tc>
      </w:tr>
      <w:tr w:rsidR="00E94D9E" w:rsidTr="00814EBD">
        <w:trPr>
          <w:jc w:val="center"/>
        </w:trPr>
        <w:tc>
          <w:tcPr>
            <w:cnfStyle w:val="001000000000"/>
            <w:tcW w:w="811" w:type="dxa"/>
            <w:vMerge/>
          </w:tcPr>
          <w:p w:rsidR="00E94D9E" w:rsidRDefault="00E94D9E" w:rsidP="00E94D9E">
            <w:pPr>
              <w:jc w:val="both"/>
              <w:rPr>
                <w:rFonts w:cs="Arial"/>
              </w:rPr>
            </w:pPr>
          </w:p>
        </w:tc>
        <w:tc>
          <w:tcPr>
            <w:tcW w:w="8789" w:type="dxa"/>
          </w:tcPr>
          <w:p w:rsidR="00E94D9E" w:rsidRPr="008E6D10" w:rsidRDefault="00E94D9E" w:rsidP="00E94D9E">
            <w:pPr>
              <w:pStyle w:val="ListParagraph"/>
              <w:spacing w:before="0" w:after="120"/>
              <w:ind w:left="0"/>
              <w:cnfStyle w:val="000000000000"/>
              <w:rPr>
                <w:rFonts w:ascii="Arial" w:hAnsi="Arial" w:cs="Arial"/>
                <w:b/>
                <w:sz w:val="20"/>
                <w:szCs w:val="20"/>
              </w:rPr>
            </w:pPr>
            <w:r w:rsidRPr="008E6D10">
              <w:rPr>
                <w:rFonts w:ascii="Arial" w:hAnsi="Arial" w:cs="Arial"/>
                <w:b/>
                <w:sz w:val="20"/>
                <w:szCs w:val="20"/>
              </w:rPr>
              <w:t>Bringing in relief teachers</w:t>
            </w:r>
            <w:r w:rsidRPr="008E6D10">
              <w:rPr>
                <w:rStyle w:val="FootnoteReference"/>
                <w:rFonts w:ascii="Arial" w:hAnsi="Arial" w:cs="Arial"/>
                <w:b/>
                <w:sz w:val="20"/>
                <w:szCs w:val="20"/>
              </w:rPr>
              <w:footnoteReference w:id="3"/>
            </w:r>
            <w:r w:rsidRPr="008E6D10">
              <w:rPr>
                <w:rFonts w:ascii="Arial" w:hAnsi="Arial" w:cs="Arial"/>
                <w:b/>
                <w:sz w:val="20"/>
                <w:szCs w:val="20"/>
              </w:rPr>
              <w:t xml:space="preserve"> </w:t>
            </w:r>
          </w:p>
          <w:p w:rsidR="00E94D9E" w:rsidRPr="008E6D10" w:rsidRDefault="00E94D9E" w:rsidP="00E94D9E">
            <w:pPr>
              <w:pStyle w:val="ListParagraph"/>
              <w:numPr>
                <w:ilvl w:val="0"/>
                <w:numId w:val="13"/>
              </w:numPr>
              <w:spacing w:after="120"/>
              <w:cnfStyle w:val="000000000000"/>
              <w:rPr>
                <w:rFonts w:ascii="Arial" w:hAnsi="Arial" w:cs="Arial"/>
                <w:sz w:val="20"/>
                <w:szCs w:val="20"/>
              </w:rPr>
            </w:pPr>
            <w:r w:rsidRPr="008E6D10">
              <w:rPr>
                <w:rFonts w:ascii="Arial" w:hAnsi="Arial" w:cs="Arial"/>
                <w:sz w:val="20"/>
                <w:szCs w:val="20"/>
              </w:rPr>
              <w:t>Often have to cover reliever travel costs – additional pressure on relief teacher budgets.</w:t>
            </w:r>
          </w:p>
        </w:tc>
      </w:tr>
      <w:tr w:rsidR="00E94D9E" w:rsidTr="00814EBD">
        <w:trPr>
          <w:jc w:val="center"/>
        </w:trPr>
        <w:tc>
          <w:tcPr>
            <w:cnfStyle w:val="001000000000"/>
            <w:tcW w:w="811" w:type="dxa"/>
            <w:vMerge/>
          </w:tcPr>
          <w:p w:rsidR="00E94D9E" w:rsidRDefault="00E94D9E" w:rsidP="00E94D9E">
            <w:pPr>
              <w:jc w:val="both"/>
              <w:rPr>
                <w:rFonts w:cs="Arial"/>
              </w:rPr>
            </w:pPr>
          </w:p>
        </w:tc>
        <w:tc>
          <w:tcPr>
            <w:tcW w:w="8789" w:type="dxa"/>
          </w:tcPr>
          <w:p w:rsidR="00674513" w:rsidRPr="008E6D10" w:rsidRDefault="00674513" w:rsidP="00674513">
            <w:pPr>
              <w:pStyle w:val="ListParagraph"/>
              <w:spacing w:before="0" w:after="120"/>
              <w:ind w:left="0"/>
              <w:cnfStyle w:val="000000000000"/>
              <w:rPr>
                <w:rFonts w:ascii="Arial" w:hAnsi="Arial" w:cs="Arial"/>
                <w:b/>
                <w:sz w:val="20"/>
                <w:szCs w:val="20"/>
              </w:rPr>
            </w:pPr>
            <w:r w:rsidRPr="008E6D10">
              <w:rPr>
                <w:rFonts w:ascii="Arial" w:hAnsi="Arial" w:cs="Arial"/>
                <w:b/>
                <w:sz w:val="20"/>
                <w:szCs w:val="20"/>
              </w:rPr>
              <w:t>Meeting requirements – teacher/principal appraisal and moderation</w:t>
            </w:r>
          </w:p>
          <w:p w:rsidR="00E94D9E" w:rsidRPr="008E6D10" w:rsidRDefault="00674513" w:rsidP="009F395E">
            <w:pPr>
              <w:pStyle w:val="ListParagraph"/>
              <w:numPr>
                <w:ilvl w:val="0"/>
                <w:numId w:val="13"/>
              </w:numPr>
              <w:spacing w:after="120"/>
              <w:cnfStyle w:val="000000000000"/>
              <w:rPr>
                <w:rFonts w:ascii="Arial" w:hAnsi="Arial" w:cs="Arial"/>
                <w:sz w:val="20"/>
                <w:szCs w:val="20"/>
              </w:rPr>
            </w:pPr>
            <w:r w:rsidRPr="008E6D10">
              <w:rPr>
                <w:rFonts w:ascii="Arial" w:hAnsi="Arial" w:cs="Arial"/>
                <w:sz w:val="20"/>
                <w:szCs w:val="20"/>
              </w:rPr>
              <w:t>Particularly around moderating O</w:t>
            </w:r>
            <w:r w:rsidR="000F1390">
              <w:rPr>
                <w:rFonts w:ascii="Arial" w:hAnsi="Arial" w:cs="Arial"/>
                <w:sz w:val="20"/>
                <w:szCs w:val="20"/>
              </w:rPr>
              <w:t xml:space="preserve">verall </w:t>
            </w:r>
            <w:r w:rsidRPr="008E6D10">
              <w:rPr>
                <w:rFonts w:ascii="Arial" w:hAnsi="Arial" w:cs="Arial"/>
                <w:sz w:val="20"/>
                <w:szCs w:val="20"/>
              </w:rPr>
              <w:t>T</w:t>
            </w:r>
            <w:r w:rsidR="000F1390">
              <w:rPr>
                <w:rFonts w:ascii="Arial" w:hAnsi="Arial" w:cs="Arial"/>
                <w:sz w:val="20"/>
                <w:szCs w:val="20"/>
              </w:rPr>
              <w:t xml:space="preserve">eacher </w:t>
            </w:r>
            <w:r w:rsidRPr="008E6D10">
              <w:rPr>
                <w:rFonts w:ascii="Arial" w:hAnsi="Arial" w:cs="Arial"/>
                <w:sz w:val="20"/>
                <w:szCs w:val="20"/>
              </w:rPr>
              <w:t>J</w:t>
            </w:r>
            <w:r w:rsidR="000F1390">
              <w:rPr>
                <w:rFonts w:ascii="Arial" w:hAnsi="Arial" w:cs="Arial"/>
                <w:sz w:val="20"/>
                <w:szCs w:val="20"/>
              </w:rPr>
              <w:t>udgement</w:t>
            </w:r>
            <w:r w:rsidRPr="008E6D10">
              <w:rPr>
                <w:rFonts w:ascii="Arial" w:hAnsi="Arial" w:cs="Arial"/>
                <w:sz w:val="20"/>
                <w:szCs w:val="20"/>
              </w:rPr>
              <w:t>s in primary schools. A small, isolated primary school with 1-2 teachers can</w:t>
            </w:r>
            <w:r w:rsidR="009F395E">
              <w:rPr>
                <w:rFonts w:ascii="Arial" w:hAnsi="Arial" w:cs="Arial"/>
                <w:sz w:val="20"/>
                <w:szCs w:val="20"/>
              </w:rPr>
              <w:t>not</w:t>
            </w:r>
            <w:r w:rsidRPr="008E6D10">
              <w:rPr>
                <w:rFonts w:ascii="Arial" w:hAnsi="Arial" w:cs="Arial"/>
                <w:sz w:val="20"/>
                <w:szCs w:val="20"/>
              </w:rPr>
              <w:t xml:space="preserve"> moderate internally.</w:t>
            </w:r>
          </w:p>
        </w:tc>
      </w:tr>
      <w:tr w:rsidR="00674513" w:rsidTr="00814EBD">
        <w:trPr>
          <w:jc w:val="center"/>
        </w:trPr>
        <w:tc>
          <w:tcPr>
            <w:cnfStyle w:val="001000000000"/>
            <w:tcW w:w="811" w:type="dxa"/>
            <w:vMerge/>
          </w:tcPr>
          <w:p w:rsidR="00674513" w:rsidRDefault="00674513" w:rsidP="00E94D9E">
            <w:pPr>
              <w:jc w:val="both"/>
              <w:rPr>
                <w:rFonts w:cs="Arial"/>
              </w:rPr>
            </w:pPr>
          </w:p>
        </w:tc>
        <w:tc>
          <w:tcPr>
            <w:tcW w:w="8789" w:type="dxa"/>
          </w:tcPr>
          <w:p w:rsidR="00674513" w:rsidRPr="008E6D10" w:rsidRDefault="00674513" w:rsidP="00674513">
            <w:pPr>
              <w:pStyle w:val="ListParagraph"/>
              <w:spacing w:before="0" w:after="120"/>
              <w:ind w:left="0"/>
              <w:cnfStyle w:val="000000000000"/>
              <w:rPr>
                <w:rFonts w:ascii="Arial" w:hAnsi="Arial" w:cs="Arial"/>
                <w:b/>
                <w:sz w:val="20"/>
                <w:szCs w:val="20"/>
              </w:rPr>
            </w:pPr>
            <w:r w:rsidRPr="008E6D10">
              <w:rPr>
                <w:rFonts w:ascii="Arial" w:hAnsi="Arial" w:cs="Arial"/>
                <w:b/>
                <w:sz w:val="20"/>
                <w:szCs w:val="20"/>
              </w:rPr>
              <w:t>Access to opportunities for students (sporting, cultural, etc)</w:t>
            </w:r>
          </w:p>
          <w:p w:rsidR="00674513" w:rsidRPr="008E6D10" w:rsidRDefault="00674513" w:rsidP="00674513">
            <w:pPr>
              <w:pStyle w:val="ListParagraph"/>
              <w:numPr>
                <w:ilvl w:val="0"/>
                <w:numId w:val="13"/>
              </w:numPr>
              <w:spacing w:after="120"/>
              <w:cnfStyle w:val="000000000000"/>
              <w:rPr>
                <w:rFonts w:ascii="Arial" w:hAnsi="Arial" w:cs="Arial"/>
                <w:b/>
                <w:sz w:val="20"/>
                <w:szCs w:val="20"/>
              </w:rPr>
            </w:pPr>
            <w:r>
              <w:rPr>
                <w:rFonts w:ascii="Arial" w:hAnsi="Arial" w:cs="Arial"/>
                <w:sz w:val="20"/>
                <w:szCs w:val="20"/>
              </w:rPr>
              <w:t xml:space="preserve">Schools incur additional costs in order to provide children with exposure to a range of </w:t>
            </w:r>
            <w:r w:rsidRPr="008E6D10">
              <w:rPr>
                <w:rFonts w:ascii="Arial" w:hAnsi="Arial" w:cs="Arial"/>
                <w:sz w:val="20"/>
                <w:szCs w:val="20"/>
              </w:rPr>
              <w:t>opportunities.</w:t>
            </w:r>
          </w:p>
        </w:tc>
      </w:tr>
      <w:tr w:rsidR="00E94D9E" w:rsidTr="00814EBD">
        <w:trPr>
          <w:jc w:val="center"/>
        </w:trPr>
        <w:tc>
          <w:tcPr>
            <w:cnfStyle w:val="001000000000"/>
            <w:tcW w:w="811" w:type="dxa"/>
            <w:vMerge w:val="restart"/>
            <w:textDirection w:val="btLr"/>
          </w:tcPr>
          <w:p w:rsidR="00E94D9E" w:rsidRDefault="00E94D9E" w:rsidP="00E94D9E">
            <w:pPr>
              <w:ind w:right="113"/>
              <w:jc w:val="center"/>
              <w:rPr>
                <w:rFonts w:cs="Arial"/>
              </w:rPr>
            </w:pPr>
            <w:r w:rsidRPr="008E6D10">
              <w:rPr>
                <w:rFonts w:ascii="Arial" w:eastAsia="Times New Roman" w:hAnsi="Arial" w:cs="Arial"/>
                <w:color w:val="auto"/>
                <w:sz w:val="20"/>
                <w:szCs w:val="20"/>
              </w:rPr>
              <w:t>Trades and services costs</w:t>
            </w:r>
          </w:p>
        </w:tc>
        <w:tc>
          <w:tcPr>
            <w:tcW w:w="8789" w:type="dxa"/>
          </w:tcPr>
          <w:p w:rsidR="00E94D9E" w:rsidRPr="008E6D10" w:rsidRDefault="00E94D9E" w:rsidP="00E94D9E">
            <w:pPr>
              <w:pStyle w:val="ListParagraph"/>
              <w:spacing w:before="0" w:after="120"/>
              <w:ind w:left="0"/>
              <w:cnfStyle w:val="000000000000"/>
              <w:rPr>
                <w:rFonts w:ascii="Arial" w:hAnsi="Arial" w:cs="Arial"/>
                <w:b/>
                <w:sz w:val="20"/>
                <w:szCs w:val="20"/>
              </w:rPr>
            </w:pPr>
            <w:r w:rsidRPr="008E6D10">
              <w:rPr>
                <w:rFonts w:ascii="Arial" w:hAnsi="Arial" w:cs="Arial"/>
                <w:b/>
                <w:sz w:val="20"/>
                <w:szCs w:val="20"/>
              </w:rPr>
              <w:t>Bringing in trades and services</w:t>
            </w:r>
          </w:p>
          <w:p w:rsidR="00E94D9E" w:rsidRPr="00025A03" w:rsidRDefault="00E94D9E" w:rsidP="00025A03">
            <w:pPr>
              <w:pStyle w:val="ListParagraph"/>
              <w:numPr>
                <w:ilvl w:val="0"/>
                <w:numId w:val="13"/>
              </w:numPr>
              <w:spacing w:before="0" w:after="120"/>
              <w:cnfStyle w:val="000000000000"/>
              <w:rPr>
                <w:rFonts w:ascii="Arial" w:hAnsi="Arial" w:cs="Arial"/>
                <w:sz w:val="20"/>
                <w:szCs w:val="20"/>
              </w:rPr>
            </w:pPr>
            <w:r w:rsidRPr="008E6D10">
              <w:rPr>
                <w:rFonts w:ascii="Arial" w:hAnsi="Arial" w:cs="Arial"/>
                <w:sz w:val="20"/>
                <w:szCs w:val="20"/>
              </w:rPr>
              <w:t>Difficult for extremely isolated schools (2+ hours from</w:t>
            </w:r>
            <w:r w:rsidR="00C64A98">
              <w:rPr>
                <w:rFonts w:ascii="Arial" w:hAnsi="Arial" w:cs="Arial"/>
                <w:sz w:val="20"/>
                <w:szCs w:val="20"/>
              </w:rPr>
              <w:t xml:space="preserve"> a</w:t>
            </w:r>
            <w:r w:rsidRPr="008E6D10">
              <w:rPr>
                <w:rFonts w:ascii="Arial" w:hAnsi="Arial" w:cs="Arial"/>
                <w:sz w:val="20"/>
                <w:szCs w:val="20"/>
              </w:rPr>
              <w:t xml:space="preserve"> larger centre). Often have to pay significant travel costs to get trades people to come to isolated schools.</w:t>
            </w:r>
          </w:p>
        </w:tc>
      </w:tr>
      <w:tr w:rsidR="00E94D9E" w:rsidTr="00814EBD">
        <w:trPr>
          <w:trHeight w:val="718"/>
          <w:jc w:val="center"/>
        </w:trPr>
        <w:tc>
          <w:tcPr>
            <w:cnfStyle w:val="001000000000"/>
            <w:tcW w:w="811" w:type="dxa"/>
            <w:vMerge/>
          </w:tcPr>
          <w:p w:rsidR="00E94D9E" w:rsidRDefault="00E94D9E" w:rsidP="00E94D9E">
            <w:pPr>
              <w:jc w:val="both"/>
              <w:rPr>
                <w:rFonts w:cs="Arial"/>
              </w:rPr>
            </w:pPr>
          </w:p>
        </w:tc>
        <w:tc>
          <w:tcPr>
            <w:tcW w:w="8789" w:type="dxa"/>
          </w:tcPr>
          <w:p w:rsidR="00E94D9E" w:rsidRPr="008E6D10" w:rsidRDefault="00E94D9E" w:rsidP="00E94D9E">
            <w:pPr>
              <w:pStyle w:val="ListParagraph"/>
              <w:spacing w:before="0" w:after="120"/>
              <w:ind w:left="0"/>
              <w:cnfStyle w:val="000000000000"/>
              <w:rPr>
                <w:rFonts w:ascii="Arial" w:hAnsi="Arial" w:cs="Arial"/>
                <w:b/>
                <w:sz w:val="20"/>
                <w:szCs w:val="20"/>
              </w:rPr>
            </w:pPr>
            <w:r w:rsidRPr="008E6D10">
              <w:rPr>
                <w:rFonts w:ascii="Arial" w:hAnsi="Arial" w:cs="Arial"/>
                <w:b/>
                <w:sz w:val="20"/>
                <w:szCs w:val="20"/>
              </w:rPr>
              <w:t xml:space="preserve">Freight and shipping </w:t>
            </w:r>
          </w:p>
          <w:p w:rsidR="00E94D9E" w:rsidRPr="00025A03" w:rsidRDefault="00E94D9E" w:rsidP="00025A03">
            <w:pPr>
              <w:pStyle w:val="ListParagraph"/>
              <w:numPr>
                <w:ilvl w:val="0"/>
                <w:numId w:val="13"/>
              </w:numPr>
              <w:spacing w:before="0" w:after="120"/>
              <w:cnfStyle w:val="000000000000"/>
              <w:rPr>
                <w:rFonts w:ascii="Arial" w:hAnsi="Arial" w:cs="Arial"/>
                <w:sz w:val="20"/>
                <w:szCs w:val="20"/>
              </w:rPr>
            </w:pPr>
            <w:r w:rsidRPr="008E6D10">
              <w:rPr>
                <w:rFonts w:ascii="Arial" w:hAnsi="Arial" w:cs="Arial"/>
                <w:sz w:val="20"/>
                <w:szCs w:val="20"/>
              </w:rPr>
              <w:t>Particularly significant for island schools and very isolated mainland schools.</w:t>
            </w:r>
          </w:p>
        </w:tc>
      </w:tr>
    </w:tbl>
    <w:p w:rsidR="008759B7" w:rsidRDefault="008759B7" w:rsidP="00726978">
      <w:pPr>
        <w:pStyle w:val="BlueSubheading3"/>
        <w:spacing w:before="0" w:after="0"/>
        <w:rPr>
          <w:sz w:val="24"/>
        </w:rPr>
      </w:pPr>
      <w:bookmarkStart w:id="3" w:name="_Toc443578260"/>
    </w:p>
    <w:p w:rsidR="00E94D9E" w:rsidRDefault="00E94D9E" w:rsidP="00726978">
      <w:pPr>
        <w:pStyle w:val="BlueSubheading3"/>
        <w:spacing w:before="0" w:after="0"/>
        <w:rPr>
          <w:sz w:val="24"/>
        </w:rPr>
      </w:pPr>
      <w:r w:rsidRPr="003515C9">
        <w:rPr>
          <w:sz w:val="24"/>
        </w:rPr>
        <w:t xml:space="preserve">Costs </w:t>
      </w:r>
      <w:r w:rsidR="00005464">
        <w:rPr>
          <w:sz w:val="24"/>
        </w:rPr>
        <w:t>of isolation for</w:t>
      </w:r>
      <w:r w:rsidRPr="003515C9">
        <w:rPr>
          <w:sz w:val="24"/>
        </w:rPr>
        <w:t xml:space="preserve"> </w:t>
      </w:r>
      <w:r w:rsidR="00B835AE" w:rsidRPr="00B835AE">
        <w:rPr>
          <w:sz w:val="24"/>
        </w:rPr>
        <w:t>early learning</w:t>
      </w:r>
      <w:r w:rsidRPr="003515C9">
        <w:rPr>
          <w:sz w:val="24"/>
        </w:rPr>
        <w:t xml:space="preserve"> services</w:t>
      </w:r>
      <w:bookmarkEnd w:id="3"/>
    </w:p>
    <w:p w:rsidR="00726978" w:rsidRPr="00726978" w:rsidRDefault="00726978" w:rsidP="00726978">
      <w:pPr>
        <w:pStyle w:val="BlueSubheading3"/>
        <w:spacing w:before="0" w:after="0"/>
        <w:rPr>
          <w:szCs w:val="20"/>
        </w:rPr>
      </w:pPr>
    </w:p>
    <w:p w:rsidR="00674513" w:rsidRDefault="00025A03" w:rsidP="00726978">
      <w:pPr>
        <w:pStyle w:val="MoEBodyText"/>
        <w:spacing w:after="0" w:line="240" w:lineRule="auto"/>
        <w:jc w:val="both"/>
        <w:rPr>
          <w:sz w:val="22"/>
          <w:szCs w:val="22"/>
        </w:rPr>
      </w:pPr>
      <w:r>
        <w:rPr>
          <w:sz w:val="22"/>
          <w:szCs w:val="22"/>
        </w:rPr>
        <w:t>R</w:t>
      </w:r>
      <w:r w:rsidR="00E94D9E">
        <w:rPr>
          <w:sz w:val="22"/>
          <w:szCs w:val="22"/>
        </w:rPr>
        <w:t>esearch from 2006</w:t>
      </w:r>
      <w:r w:rsidR="00E94D9E">
        <w:rPr>
          <w:rStyle w:val="FootnoteReference"/>
          <w:sz w:val="22"/>
          <w:szCs w:val="22"/>
        </w:rPr>
        <w:footnoteReference w:id="4"/>
      </w:r>
      <w:r w:rsidR="00E94D9E">
        <w:rPr>
          <w:sz w:val="22"/>
          <w:szCs w:val="22"/>
        </w:rPr>
        <w:t xml:space="preserve"> suggests that isolated </w:t>
      </w:r>
      <w:r w:rsidR="00B835AE" w:rsidRPr="00B835AE">
        <w:rPr>
          <w:sz w:val="22"/>
          <w:szCs w:val="22"/>
        </w:rPr>
        <w:t>early learning</w:t>
      </w:r>
      <w:r w:rsidR="00E94D9E">
        <w:rPr>
          <w:sz w:val="22"/>
          <w:szCs w:val="22"/>
        </w:rPr>
        <w:t xml:space="preserve"> services face many similar issues. </w:t>
      </w:r>
      <w:r w:rsidR="00280FDB">
        <w:rPr>
          <w:sz w:val="22"/>
          <w:szCs w:val="22"/>
        </w:rPr>
        <w:t>T</w:t>
      </w:r>
      <w:r w:rsidR="00E94D9E">
        <w:rPr>
          <w:sz w:val="22"/>
          <w:szCs w:val="22"/>
        </w:rPr>
        <w:t>he lack and cost of transport affect children’s excursions, and teacher/kaiako attendance at wāna</w:t>
      </w:r>
      <w:r w:rsidR="001A1429">
        <w:rPr>
          <w:sz w:val="22"/>
          <w:szCs w:val="22"/>
        </w:rPr>
        <w:t>n</w:t>
      </w:r>
      <w:r w:rsidR="00E94D9E">
        <w:rPr>
          <w:sz w:val="22"/>
          <w:szCs w:val="22"/>
        </w:rPr>
        <w:t xml:space="preserve">ga, training and PLD courses. Other issues for isolated </w:t>
      </w:r>
      <w:r w:rsidR="00B835AE" w:rsidRPr="00B835AE">
        <w:rPr>
          <w:sz w:val="22"/>
          <w:szCs w:val="22"/>
        </w:rPr>
        <w:t>early learning</w:t>
      </w:r>
      <w:r w:rsidR="00E94D9E">
        <w:rPr>
          <w:sz w:val="22"/>
          <w:szCs w:val="22"/>
        </w:rPr>
        <w:t xml:space="preserve"> services are created by limited local availability of management and professional support, the higher cost of some goods and services,</w:t>
      </w:r>
      <w:r w:rsidR="00280FDB">
        <w:rPr>
          <w:sz w:val="22"/>
          <w:szCs w:val="22"/>
        </w:rPr>
        <w:t xml:space="preserve"> and</w:t>
      </w:r>
      <w:r w:rsidR="00E94D9E">
        <w:rPr>
          <w:sz w:val="22"/>
          <w:szCs w:val="22"/>
        </w:rPr>
        <w:t xml:space="preserve"> difficulties in recruitment and retention of qualified teachers</w:t>
      </w:r>
      <w:r w:rsidR="009F395E">
        <w:rPr>
          <w:sz w:val="22"/>
          <w:szCs w:val="22"/>
        </w:rPr>
        <w:t>.</w:t>
      </w:r>
      <w:r w:rsidR="00E94D9E">
        <w:rPr>
          <w:sz w:val="22"/>
          <w:szCs w:val="22"/>
        </w:rPr>
        <w:t xml:space="preserve">  </w:t>
      </w:r>
    </w:p>
    <w:p w:rsidR="00674513" w:rsidRDefault="00674513" w:rsidP="00726978">
      <w:pPr>
        <w:pStyle w:val="MoEBodyText"/>
        <w:spacing w:after="0" w:line="240" w:lineRule="auto"/>
        <w:jc w:val="both"/>
        <w:rPr>
          <w:sz w:val="22"/>
          <w:szCs w:val="22"/>
        </w:rPr>
      </w:pPr>
    </w:p>
    <w:p w:rsidR="00E94D9E" w:rsidRDefault="00E94D9E" w:rsidP="00726978">
      <w:pPr>
        <w:pStyle w:val="MoEBodyText"/>
        <w:spacing w:after="0" w:line="240" w:lineRule="auto"/>
        <w:jc w:val="both"/>
        <w:rPr>
          <w:sz w:val="22"/>
          <w:szCs w:val="22"/>
        </w:rPr>
      </w:pPr>
      <w:r>
        <w:rPr>
          <w:sz w:val="22"/>
          <w:szCs w:val="22"/>
        </w:rPr>
        <w:t xml:space="preserve">Many small, isolated </w:t>
      </w:r>
      <w:r w:rsidR="00B835AE" w:rsidRPr="00B835AE">
        <w:rPr>
          <w:sz w:val="22"/>
          <w:szCs w:val="22"/>
        </w:rPr>
        <w:t>early learning</w:t>
      </w:r>
      <w:r>
        <w:rPr>
          <w:sz w:val="22"/>
          <w:szCs w:val="22"/>
        </w:rPr>
        <w:t xml:space="preserve"> services reported issues with service sustainability due to </w:t>
      </w:r>
      <w:r w:rsidR="00674513">
        <w:rPr>
          <w:sz w:val="22"/>
          <w:szCs w:val="22"/>
        </w:rPr>
        <w:t>low population density</w:t>
      </w:r>
      <w:r w:rsidR="009F395E" w:rsidRPr="009F395E">
        <w:rPr>
          <w:sz w:val="22"/>
          <w:szCs w:val="22"/>
        </w:rPr>
        <w:t xml:space="preserve"> </w:t>
      </w:r>
      <w:r w:rsidR="009F395E">
        <w:rPr>
          <w:sz w:val="22"/>
          <w:szCs w:val="22"/>
        </w:rPr>
        <w:t xml:space="preserve">and therefore participation levels, </w:t>
      </w:r>
      <w:r w:rsidR="00280FDB">
        <w:rPr>
          <w:sz w:val="22"/>
          <w:szCs w:val="22"/>
        </w:rPr>
        <w:t xml:space="preserve">the lack and cost of transport affecting children’s and parent/whānau participation, </w:t>
      </w:r>
      <w:r w:rsidR="009F395E">
        <w:rPr>
          <w:sz w:val="22"/>
          <w:szCs w:val="22"/>
        </w:rPr>
        <w:t>and the seasonal nature of some rural employment.</w:t>
      </w:r>
    </w:p>
    <w:p w:rsidR="00280FDB" w:rsidRDefault="00280FDB" w:rsidP="00726978">
      <w:pPr>
        <w:pStyle w:val="MoEBodyText"/>
        <w:spacing w:after="0" w:line="240" w:lineRule="auto"/>
        <w:jc w:val="both"/>
        <w:rPr>
          <w:sz w:val="22"/>
          <w:szCs w:val="22"/>
        </w:rPr>
      </w:pPr>
    </w:p>
    <w:p w:rsidR="00280FDB" w:rsidRDefault="008759B7" w:rsidP="00280FDB">
      <w:pPr>
        <w:pStyle w:val="MoENumberedList"/>
        <w:numPr>
          <w:ilvl w:val="0"/>
          <w:numId w:val="0"/>
        </w:numPr>
        <w:spacing w:after="160"/>
        <w:jc w:val="both"/>
        <w:rPr>
          <w:sz w:val="22"/>
        </w:rPr>
      </w:pPr>
      <w:r>
        <w:rPr>
          <w:sz w:val="22"/>
        </w:rPr>
        <w:br w:type="column"/>
      </w:r>
    </w:p>
    <w:p w:rsidR="00280FDB" w:rsidRDefault="00280FDB" w:rsidP="00280FDB">
      <w:pPr>
        <w:pStyle w:val="MoENumberedList"/>
        <w:numPr>
          <w:ilvl w:val="0"/>
          <w:numId w:val="0"/>
        </w:numPr>
        <w:pBdr>
          <w:top w:val="single" w:sz="4" w:space="1" w:color="auto"/>
          <w:left w:val="single" w:sz="4" w:space="4" w:color="auto"/>
          <w:bottom w:val="single" w:sz="4" w:space="1" w:color="auto"/>
          <w:right w:val="single" w:sz="4" w:space="4" w:color="auto"/>
        </w:pBdr>
        <w:rPr>
          <w:rFonts w:cs="Arial"/>
          <w:i/>
          <w:sz w:val="22"/>
        </w:rPr>
      </w:pPr>
    </w:p>
    <w:p w:rsidR="00280FDB" w:rsidRDefault="00280FDB" w:rsidP="00280FDB">
      <w:pPr>
        <w:pStyle w:val="MoENumberedList"/>
        <w:numPr>
          <w:ilvl w:val="0"/>
          <w:numId w:val="0"/>
        </w:numPr>
        <w:pBdr>
          <w:top w:val="single" w:sz="4" w:space="1" w:color="auto"/>
          <w:left w:val="single" w:sz="4" w:space="4" w:color="auto"/>
          <w:bottom w:val="single" w:sz="4" w:space="1" w:color="auto"/>
          <w:right w:val="single" w:sz="4" w:space="4" w:color="auto"/>
        </w:pBdr>
        <w:rPr>
          <w:rFonts w:cs="Arial"/>
          <w:i/>
          <w:sz w:val="22"/>
        </w:rPr>
      </w:pPr>
      <w:r>
        <w:rPr>
          <w:rFonts w:cs="Arial"/>
          <w:i/>
          <w:sz w:val="22"/>
        </w:rPr>
        <w:t>Questions for discussion</w:t>
      </w:r>
    </w:p>
    <w:p w:rsidR="00280FDB" w:rsidRDefault="00280FDB" w:rsidP="00280FDB">
      <w:pPr>
        <w:pStyle w:val="MoENumberedList"/>
        <w:numPr>
          <w:ilvl w:val="0"/>
          <w:numId w:val="0"/>
        </w:numPr>
        <w:pBdr>
          <w:top w:val="single" w:sz="4" w:space="1" w:color="auto"/>
          <w:left w:val="single" w:sz="4" w:space="4" w:color="auto"/>
          <w:bottom w:val="single" w:sz="4" w:space="1" w:color="auto"/>
          <w:right w:val="single" w:sz="4" w:space="4" w:color="auto"/>
        </w:pBdr>
        <w:rPr>
          <w:rFonts w:cs="Arial"/>
          <w:i/>
          <w:sz w:val="22"/>
        </w:rPr>
      </w:pPr>
    </w:p>
    <w:p w:rsidR="00280FDB" w:rsidRDefault="00280FDB" w:rsidP="00280FDB">
      <w:pPr>
        <w:pStyle w:val="MoENumberedList"/>
        <w:numPr>
          <w:ilvl w:val="0"/>
          <w:numId w:val="0"/>
        </w:numPr>
        <w:pBdr>
          <w:top w:val="single" w:sz="4" w:space="1" w:color="auto"/>
          <w:left w:val="single" w:sz="4" w:space="4" w:color="auto"/>
          <w:bottom w:val="single" w:sz="4" w:space="1" w:color="auto"/>
          <w:right w:val="single" w:sz="4" w:space="4" w:color="auto"/>
        </w:pBdr>
        <w:rPr>
          <w:rFonts w:cs="Arial"/>
          <w:i/>
          <w:sz w:val="22"/>
        </w:rPr>
      </w:pPr>
      <w:r>
        <w:rPr>
          <w:rFonts w:cs="Arial"/>
          <w:i/>
          <w:sz w:val="22"/>
        </w:rPr>
        <w:t xml:space="preserve">Do the cost components in Table 3 accurately reflect the drivers of increased costs for isolated schools and </w:t>
      </w:r>
      <w:r w:rsidR="00B835AE" w:rsidRPr="00B835AE">
        <w:rPr>
          <w:rFonts w:cs="Arial"/>
          <w:i/>
          <w:sz w:val="22"/>
        </w:rPr>
        <w:t xml:space="preserve">early learning </w:t>
      </w:r>
      <w:r>
        <w:rPr>
          <w:rFonts w:cs="Arial"/>
          <w:i/>
          <w:sz w:val="22"/>
        </w:rPr>
        <w:t>services?</w:t>
      </w:r>
    </w:p>
    <w:p w:rsidR="00280FDB" w:rsidRDefault="00280FDB" w:rsidP="00280FDB">
      <w:pPr>
        <w:pStyle w:val="MoENumberedList"/>
        <w:numPr>
          <w:ilvl w:val="0"/>
          <w:numId w:val="0"/>
        </w:numPr>
        <w:pBdr>
          <w:top w:val="single" w:sz="4" w:space="1" w:color="auto"/>
          <w:left w:val="single" w:sz="4" w:space="4" w:color="auto"/>
          <w:bottom w:val="single" w:sz="4" w:space="1" w:color="auto"/>
          <w:right w:val="single" w:sz="4" w:space="4" w:color="auto"/>
        </w:pBdr>
        <w:rPr>
          <w:rFonts w:cs="Arial"/>
          <w:i/>
          <w:sz w:val="22"/>
        </w:rPr>
      </w:pPr>
    </w:p>
    <w:p w:rsidR="00280FDB" w:rsidRDefault="00280FDB" w:rsidP="00280FDB">
      <w:pPr>
        <w:pStyle w:val="MoENumberedList"/>
        <w:numPr>
          <w:ilvl w:val="0"/>
          <w:numId w:val="0"/>
        </w:numPr>
        <w:pBdr>
          <w:top w:val="single" w:sz="4" w:space="1" w:color="auto"/>
          <w:left w:val="single" w:sz="4" w:space="4" w:color="auto"/>
          <w:bottom w:val="single" w:sz="4" w:space="1" w:color="auto"/>
          <w:right w:val="single" w:sz="4" w:space="4" w:color="auto"/>
        </w:pBdr>
        <w:rPr>
          <w:rFonts w:cs="Arial"/>
          <w:i/>
          <w:sz w:val="22"/>
        </w:rPr>
      </w:pPr>
      <w:r>
        <w:rPr>
          <w:rFonts w:cs="Arial"/>
          <w:i/>
          <w:sz w:val="22"/>
        </w:rPr>
        <w:t>How has the nature of the costs changed since 2001?</w:t>
      </w:r>
    </w:p>
    <w:p w:rsidR="00280FDB" w:rsidRDefault="00280FDB" w:rsidP="00280FDB">
      <w:pPr>
        <w:pStyle w:val="MoENumberedList"/>
        <w:numPr>
          <w:ilvl w:val="0"/>
          <w:numId w:val="0"/>
        </w:numPr>
        <w:pBdr>
          <w:top w:val="single" w:sz="4" w:space="1" w:color="auto"/>
          <w:left w:val="single" w:sz="4" w:space="4" w:color="auto"/>
          <w:bottom w:val="single" w:sz="4" w:space="1" w:color="auto"/>
          <w:right w:val="single" w:sz="4" w:space="4" w:color="auto"/>
        </w:pBdr>
        <w:rPr>
          <w:rFonts w:cs="Arial"/>
          <w:i/>
          <w:sz w:val="22"/>
        </w:rPr>
      </w:pPr>
    </w:p>
    <w:p w:rsidR="00280FDB" w:rsidRDefault="00280FDB" w:rsidP="00280FDB">
      <w:pPr>
        <w:pStyle w:val="MoENumberedList"/>
        <w:numPr>
          <w:ilvl w:val="0"/>
          <w:numId w:val="0"/>
        </w:numPr>
        <w:pBdr>
          <w:top w:val="single" w:sz="4" w:space="1" w:color="auto"/>
          <w:left w:val="single" w:sz="4" w:space="4" w:color="auto"/>
          <w:bottom w:val="single" w:sz="4" w:space="1" w:color="auto"/>
          <w:right w:val="single" w:sz="4" w:space="4" w:color="auto"/>
        </w:pBdr>
        <w:rPr>
          <w:rFonts w:cs="Arial"/>
          <w:i/>
          <w:sz w:val="22"/>
        </w:rPr>
      </w:pPr>
      <w:r>
        <w:rPr>
          <w:rFonts w:cs="Arial"/>
          <w:i/>
          <w:sz w:val="22"/>
        </w:rPr>
        <w:t>Will Communities of Learning and the investment in the Ministry’s regional networks make a difference to costs related to teaching and learning?</w:t>
      </w:r>
    </w:p>
    <w:p w:rsidR="00280FDB" w:rsidRDefault="00280FDB" w:rsidP="00280FDB">
      <w:pPr>
        <w:pStyle w:val="MoENumberedList"/>
        <w:numPr>
          <w:ilvl w:val="0"/>
          <w:numId w:val="0"/>
        </w:numPr>
        <w:pBdr>
          <w:top w:val="single" w:sz="4" w:space="1" w:color="auto"/>
          <w:left w:val="single" w:sz="4" w:space="4" w:color="auto"/>
          <w:bottom w:val="single" w:sz="4" w:space="1" w:color="auto"/>
          <w:right w:val="single" w:sz="4" w:space="4" w:color="auto"/>
        </w:pBdr>
        <w:rPr>
          <w:rFonts w:cs="Arial"/>
          <w:i/>
          <w:sz w:val="22"/>
        </w:rPr>
      </w:pPr>
    </w:p>
    <w:p w:rsidR="00E94D9E" w:rsidRDefault="00E94D9E" w:rsidP="00726978">
      <w:pPr>
        <w:pStyle w:val="BlueSubheading3"/>
        <w:spacing w:before="0" w:after="0"/>
        <w:rPr>
          <w:sz w:val="24"/>
        </w:rPr>
      </w:pPr>
      <w:r>
        <w:rPr>
          <w:sz w:val="24"/>
        </w:rPr>
        <w:t>Issues with current funding for isolation</w:t>
      </w:r>
    </w:p>
    <w:p w:rsidR="00726978" w:rsidRPr="00726978" w:rsidRDefault="00726978" w:rsidP="00726978">
      <w:pPr>
        <w:pStyle w:val="BlueSubheading3"/>
        <w:spacing w:before="0" w:after="0"/>
        <w:rPr>
          <w:szCs w:val="20"/>
        </w:rPr>
      </w:pPr>
    </w:p>
    <w:p w:rsidR="00663167" w:rsidRDefault="00E94D9E" w:rsidP="00726978">
      <w:pPr>
        <w:spacing w:after="0"/>
        <w:contextualSpacing/>
        <w:jc w:val="both"/>
        <w:rPr>
          <w:rFonts w:ascii="Arial" w:hAnsi="Arial" w:cs="Arial"/>
        </w:rPr>
      </w:pPr>
      <w:r w:rsidRPr="00E94D9E">
        <w:rPr>
          <w:rFonts w:ascii="Arial" w:hAnsi="Arial" w:cs="Arial"/>
        </w:rPr>
        <w:t>A</w:t>
      </w:r>
      <w:r w:rsidR="008D3ACA">
        <w:rPr>
          <w:rFonts w:ascii="Arial" w:hAnsi="Arial" w:cs="Arial"/>
        </w:rPr>
        <w:t xml:space="preserve">nalysis suggests there is </w:t>
      </w:r>
      <w:r w:rsidR="000F1390">
        <w:rPr>
          <w:rFonts w:ascii="Arial" w:hAnsi="Arial" w:cs="Arial"/>
        </w:rPr>
        <w:t xml:space="preserve">a </w:t>
      </w:r>
      <w:r w:rsidR="008D3ACA">
        <w:rPr>
          <w:rFonts w:ascii="Arial" w:hAnsi="Arial" w:cs="Arial"/>
        </w:rPr>
        <w:t>role for a</w:t>
      </w:r>
      <w:r w:rsidRPr="00E94D9E">
        <w:rPr>
          <w:rFonts w:ascii="Arial" w:hAnsi="Arial" w:cs="Arial"/>
        </w:rPr>
        <w:t xml:space="preserve">dditional support for isolated schools and </w:t>
      </w:r>
      <w:r w:rsidR="00B835AE">
        <w:rPr>
          <w:rFonts w:ascii="Arial" w:hAnsi="Arial"/>
        </w:rPr>
        <w:t>early learning</w:t>
      </w:r>
      <w:r w:rsidRPr="00E94D9E">
        <w:rPr>
          <w:rFonts w:ascii="Arial" w:hAnsi="Arial" w:cs="Arial"/>
        </w:rPr>
        <w:t xml:space="preserve"> services</w:t>
      </w:r>
      <w:r w:rsidR="00663167">
        <w:rPr>
          <w:rFonts w:ascii="Arial" w:hAnsi="Arial" w:cs="Arial"/>
        </w:rPr>
        <w:t xml:space="preserve"> but the current approach may not be fit for purpose and does not sufficiently focus on those schools and services that are materially impacted by isolation. This is in addition to the current index </w:t>
      </w:r>
      <w:r w:rsidR="000F1390">
        <w:rPr>
          <w:rFonts w:ascii="Arial" w:hAnsi="Arial" w:cs="Arial"/>
        </w:rPr>
        <w:t>to</w:t>
      </w:r>
      <w:r w:rsidR="001A1429">
        <w:rPr>
          <w:rFonts w:ascii="Arial" w:hAnsi="Arial" w:cs="Arial"/>
        </w:rPr>
        <w:t xml:space="preserve"> </w:t>
      </w:r>
      <w:r w:rsidR="000F1390">
        <w:rPr>
          <w:rFonts w:ascii="Arial" w:hAnsi="Arial" w:cs="Arial"/>
        </w:rPr>
        <w:t>determine funding levels being</w:t>
      </w:r>
      <w:r w:rsidR="00663167">
        <w:rPr>
          <w:rFonts w:ascii="Arial" w:hAnsi="Arial" w:cs="Arial"/>
        </w:rPr>
        <w:t xml:space="preserve"> </w:t>
      </w:r>
      <w:r w:rsidR="001A1429">
        <w:rPr>
          <w:rFonts w:ascii="Arial" w:hAnsi="Arial" w:cs="Arial"/>
        </w:rPr>
        <w:t xml:space="preserve">outdated, because it is </w:t>
      </w:r>
      <w:r w:rsidR="00663167">
        <w:rPr>
          <w:rFonts w:ascii="Arial" w:hAnsi="Arial" w:cs="Arial"/>
        </w:rPr>
        <w:t xml:space="preserve">based on Census 2001 data.  </w:t>
      </w:r>
    </w:p>
    <w:p w:rsidR="00726978" w:rsidRDefault="00726978" w:rsidP="00726978">
      <w:pPr>
        <w:spacing w:after="0"/>
        <w:contextualSpacing/>
        <w:jc w:val="both"/>
        <w:rPr>
          <w:rFonts w:ascii="Arial" w:hAnsi="Arial" w:cs="Arial"/>
        </w:rPr>
      </w:pPr>
    </w:p>
    <w:p w:rsidR="00E94D9E" w:rsidRDefault="0064190E" w:rsidP="00726978">
      <w:pPr>
        <w:pStyle w:val="ListParagraph"/>
        <w:numPr>
          <w:ilvl w:val="1"/>
          <w:numId w:val="8"/>
        </w:numPr>
        <w:ind w:left="567" w:hanging="284"/>
        <w:jc w:val="both"/>
        <w:rPr>
          <w:rFonts w:ascii="Arial" w:hAnsi="Arial" w:cs="Arial"/>
        </w:rPr>
      </w:pPr>
      <w:r w:rsidRPr="00B2052C">
        <w:rPr>
          <w:rFonts w:ascii="Arial" w:hAnsi="Arial" w:cs="Arial"/>
        </w:rPr>
        <w:t xml:space="preserve">During the development of the isolation index, judgements were made about the types of services accessed from population centres of various sizes. </w:t>
      </w:r>
      <w:r w:rsidR="000F1390">
        <w:rPr>
          <w:rFonts w:ascii="Arial" w:hAnsi="Arial" w:cs="Arial"/>
        </w:rPr>
        <w:t xml:space="preserve">However, more recent analysis indicates that the </w:t>
      </w:r>
      <w:r w:rsidR="00E94D9E" w:rsidRPr="0064190E">
        <w:rPr>
          <w:rFonts w:ascii="Arial" w:hAnsi="Arial" w:cs="Arial"/>
        </w:rPr>
        <w:t xml:space="preserve">distance from centres </w:t>
      </w:r>
      <w:r w:rsidR="000F1390">
        <w:rPr>
          <w:rFonts w:ascii="Arial" w:hAnsi="Arial" w:cs="Arial"/>
        </w:rPr>
        <w:t xml:space="preserve">with a population </w:t>
      </w:r>
      <w:r w:rsidR="00E94D9E" w:rsidRPr="0064190E">
        <w:rPr>
          <w:rFonts w:ascii="Arial" w:hAnsi="Arial" w:cs="Arial"/>
        </w:rPr>
        <w:t>of at least 100,000 does not have a significant bearing on everyday operational costs.</w:t>
      </w:r>
      <w:r w:rsidR="00221BF8">
        <w:rPr>
          <w:rFonts w:ascii="Arial" w:hAnsi="Arial" w:cs="Arial"/>
        </w:rPr>
        <w:t xml:space="preserve">  </w:t>
      </w:r>
    </w:p>
    <w:p w:rsidR="00726978" w:rsidRPr="0064190E" w:rsidRDefault="00726978" w:rsidP="00726978">
      <w:pPr>
        <w:pStyle w:val="ListParagraph"/>
        <w:ind w:left="709"/>
        <w:jc w:val="both"/>
        <w:rPr>
          <w:rFonts w:ascii="Arial" w:hAnsi="Arial" w:cs="Arial"/>
        </w:rPr>
      </w:pPr>
    </w:p>
    <w:p w:rsidR="00663167" w:rsidRDefault="00663167" w:rsidP="00726978">
      <w:pPr>
        <w:pStyle w:val="ListParagraph"/>
        <w:numPr>
          <w:ilvl w:val="1"/>
          <w:numId w:val="8"/>
        </w:numPr>
        <w:ind w:left="567" w:hanging="284"/>
        <w:jc w:val="both"/>
        <w:rPr>
          <w:rFonts w:ascii="Arial" w:hAnsi="Arial" w:cs="Arial"/>
        </w:rPr>
      </w:pPr>
      <w:r w:rsidRPr="00B2052C">
        <w:rPr>
          <w:rFonts w:ascii="Arial" w:hAnsi="Arial" w:cs="Arial"/>
        </w:rPr>
        <w:t>Some historic costs identified during the development of the isolation index are no longer relevant. For example, knowledge around ICT systems is more widespread, and ICT support is often accessed remotely; population growth in some areas has led to an increase in service availability (</w:t>
      </w:r>
      <w:r w:rsidR="006A7BC1">
        <w:rPr>
          <w:rFonts w:ascii="Arial" w:hAnsi="Arial" w:cs="Arial"/>
        </w:rPr>
        <w:t>e.g.</w:t>
      </w:r>
      <w:r w:rsidRPr="00B2052C">
        <w:rPr>
          <w:rFonts w:ascii="Arial" w:hAnsi="Arial" w:cs="Arial"/>
        </w:rPr>
        <w:t>, the Bay of Plenty, Nel</w:t>
      </w:r>
      <w:r>
        <w:rPr>
          <w:rFonts w:ascii="Arial" w:hAnsi="Arial" w:cs="Arial"/>
        </w:rPr>
        <w:t xml:space="preserve">son area, Queenstown area); </w:t>
      </w:r>
      <w:r w:rsidR="006A7BC1">
        <w:rPr>
          <w:rFonts w:ascii="Arial" w:hAnsi="Arial" w:cs="Arial"/>
        </w:rPr>
        <w:t xml:space="preserve">and </w:t>
      </w:r>
      <w:r>
        <w:rPr>
          <w:rFonts w:ascii="Arial" w:hAnsi="Arial" w:cs="Arial"/>
        </w:rPr>
        <w:t>b</w:t>
      </w:r>
      <w:r w:rsidRPr="00B2052C">
        <w:rPr>
          <w:rFonts w:ascii="Arial" w:hAnsi="Arial" w:cs="Arial"/>
        </w:rPr>
        <w:t>etter road conditions in some areas have cut travel times. However, for very isolated schools</w:t>
      </w:r>
      <w:r w:rsidR="006A7BC1">
        <w:rPr>
          <w:rFonts w:ascii="Arial" w:hAnsi="Arial" w:cs="Arial"/>
        </w:rPr>
        <w:t xml:space="preserve"> and </w:t>
      </w:r>
      <w:r w:rsidR="00B835AE">
        <w:rPr>
          <w:rFonts w:ascii="Arial" w:hAnsi="Arial"/>
        </w:rPr>
        <w:t>early learning</w:t>
      </w:r>
      <w:r w:rsidRPr="00B2052C">
        <w:rPr>
          <w:rFonts w:ascii="Arial" w:hAnsi="Arial" w:cs="Arial"/>
        </w:rPr>
        <w:t xml:space="preserve"> services these costs have not eased since the development of the isolation index. </w:t>
      </w:r>
    </w:p>
    <w:p w:rsidR="00726978" w:rsidRPr="00726978" w:rsidRDefault="00726978" w:rsidP="00726978">
      <w:pPr>
        <w:spacing w:after="0"/>
        <w:jc w:val="both"/>
        <w:rPr>
          <w:rFonts w:ascii="Arial" w:hAnsi="Arial" w:cs="Arial"/>
        </w:rPr>
      </w:pPr>
    </w:p>
    <w:p w:rsidR="0064190E" w:rsidRDefault="00E94D9E" w:rsidP="00726978">
      <w:pPr>
        <w:pStyle w:val="ListParagraph"/>
        <w:numPr>
          <w:ilvl w:val="1"/>
          <w:numId w:val="8"/>
        </w:numPr>
        <w:ind w:left="567" w:hanging="284"/>
        <w:jc w:val="both"/>
        <w:rPr>
          <w:rFonts w:ascii="Arial" w:hAnsi="Arial" w:cs="Arial"/>
        </w:rPr>
      </w:pPr>
      <w:r>
        <w:rPr>
          <w:rFonts w:ascii="Arial" w:hAnsi="Arial" w:cs="Arial"/>
        </w:rPr>
        <w:t xml:space="preserve">The current threshold </w:t>
      </w:r>
      <w:r w:rsidR="00025A03">
        <w:rPr>
          <w:rFonts w:ascii="Arial" w:hAnsi="Arial" w:cs="Arial"/>
        </w:rPr>
        <w:t>for determining isolation is quite</w:t>
      </w:r>
      <w:r>
        <w:rPr>
          <w:rFonts w:ascii="Arial" w:hAnsi="Arial" w:cs="Arial"/>
        </w:rPr>
        <w:t xml:space="preserve"> low</w:t>
      </w:r>
      <w:r w:rsidR="008D3DA1">
        <w:rPr>
          <w:rFonts w:ascii="Arial" w:hAnsi="Arial" w:cs="Arial"/>
        </w:rPr>
        <w:t xml:space="preserve">, and may not differentiate those </w:t>
      </w:r>
      <w:r w:rsidR="006A7BC1">
        <w:rPr>
          <w:rFonts w:ascii="Arial" w:hAnsi="Arial" w:cs="Arial"/>
        </w:rPr>
        <w:t>services and schools</w:t>
      </w:r>
      <w:r w:rsidR="008D3DA1">
        <w:rPr>
          <w:rFonts w:ascii="Arial" w:hAnsi="Arial" w:cs="Arial"/>
        </w:rPr>
        <w:t xml:space="preserve"> that face materially higher costs as a result of isolation</w:t>
      </w:r>
      <w:r>
        <w:rPr>
          <w:rFonts w:ascii="Arial" w:hAnsi="Arial" w:cs="Arial"/>
        </w:rPr>
        <w:t>.</w:t>
      </w:r>
      <w:r w:rsidR="008D3DA1">
        <w:rPr>
          <w:rFonts w:ascii="Arial" w:hAnsi="Arial" w:cs="Arial"/>
        </w:rPr>
        <w:t xml:space="preserve"> For example, in respect of trades, </w:t>
      </w:r>
      <w:r w:rsidR="005D0E60">
        <w:rPr>
          <w:rFonts w:ascii="Arial" w:hAnsi="Arial" w:cs="Arial"/>
        </w:rPr>
        <w:t xml:space="preserve">certain </w:t>
      </w:r>
      <w:r w:rsidR="008D3DA1">
        <w:rPr>
          <w:rFonts w:ascii="Arial" w:hAnsi="Arial" w:cs="Arial"/>
        </w:rPr>
        <w:t xml:space="preserve">urban </w:t>
      </w:r>
      <w:r w:rsidR="005D0E60">
        <w:rPr>
          <w:rFonts w:ascii="Arial" w:hAnsi="Arial" w:cs="Arial"/>
        </w:rPr>
        <w:t>services</w:t>
      </w:r>
      <w:r w:rsidR="006A1BE8">
        <w:rPr>
          <w:rFonts w:ascii="Arial" w:hAnsi="Arial" w:cs="Arial"/>
        </w:rPr>
        <w:t xml:space="preserve"> and </w:t>
      </w:r>
      <w:r w:rsidR="005D0E60">
        <w:rPr>
          <w:rFonts w:ascii="Arial" w:hAnsi="Arial" w:cs="Arial"/>
        </w:rPr>
        <w:t xml:space="preserve">schools may also face a cost premium </w:t>
      </w:r>
      <w:r w:rsidR="006A1BE8">
        <w:rPr>
          <w:rFonts w:ascii="Arial" w:hAnsi="Arial" w:cs="Arial"/>
        </w:rPr>
        <w:t>because of</w:t>
      </w:r>
      <w:r w:rsidR="008D3DA1">
        <w:rPr>
          <w:rFonts w:ascii="Arial" w:hAnsi="Arial" w:cs="Arial"/>
        </w:rPr>
        <w:t xml:space="preserve"> supply pressures and travel times resulting from congestion.  </w:t>
      </w:r>
    </w:p>
    <w:p w:rsidR="00726978" w:rsidRPr="00726978" w:rsidRDefault="00726978" w:rsidP="00726978">
      <w:pPr>
        <w:spacing w:after="0"/>
        <w:jc w:val="both"/>
        <w:rPr>
          <w:rFonts w:ascii="Arial" w:hAnsi="Arial" w:cs="Arial"/>
        </w:rPr>
      </w:pPr>
    </w:p>
    <w:p w:rsidR="0064190E" w:rsidRDefault="005D0E60" w:rsidP="00726978">
      <w:pPr>
        <w:pStyle w:val="ListParagraph"/>
        <w:numPr>
          <w:ilvl w:val="1"/>
          <w:numId w:val="8"/>
        </w:numPr>
        <w:ind w:left="567" w:hanging="284"/>
        <w:jc w:val="both"/>
        <w:rPr>
          <w:rFonts w:ascii="Arial" w:hAnsi="Arial" w:cs="Arial"/>
        </w:rPr>
      </w:pPr>
      <w:r w:rsidRPr="005D0E60">
        <w:rPr>
          <w:rFonts w:ascii="Arial" w:hAnsi="Arial" w:cs="Arial"/>
        </w:rPr>
        <w:t>T</w:t>
      </w:r>
      <w:r w:rsidR="00E94D9E" w:rsidRPr="005D0E60">
        <w:rPr>
          <w:rFonts w:ascii="Arial" w:hAnsi="Arial" w:cs="Arial"/>
        </w:rPr>
        <w:t>here are differential cost drivers</w:t>
      </w:r>
      <w:r w:rsidRPr="005D0E60">
        <w:rPr>
          <w:rFonts w:ascii="Arial" w:hAnsi="Arial" w:cs="Arial"/>
        </w:rPr>
        <w:t xml:space="preserve"> between costs relat</w:t>
      </w:r>
      <w:r w:rsidR="006A7BC1">
        <w:rPr>
          <w:rFonts w:ascii="Arial" w:hAnsi="Arial" w:cs="Arial"/>
        </w:rPr>
        <w:t>ed</w:t>
      </w:r>
      <w:r w:rsidRPr="005D0E60">
        <w:rPr>
          <w:rFonts w:ascii="Arial" w:hAnsi="Arial" w:cs="Arial"/>
        </w:rPr>
        <w:t xml:space="preserve"> to teaching and learning</w:t>
      </w:r>
      <w:r w:rsidR="000F1390">
        <w:rPr>
          <w:rFonts w:ascii="Arial" w:hAnsi="Arial" w:cs="Arial"/>
        </w:rPr>
        <w:t>,</w:t>
      </w:r>
      <w:r w:rsidRPr="005D0E60">
        <w:rPr>
          <w:rFonts w:ascii="Arial" w:hAnsi="Arial" w:cs="Arial"/>
        </w:rPr>
        <w:t xml:space="preserve"> and costs related to accessing trades and services</w:t>
      </w:r>
      <w:r w:rsidR="000F1390">
        <w:rPr>
          <w:rFonts w:ascii="Arial" w:hAnsi="Arial" w:cs="Arial"/>
        </w:rPr>
        <w:t xml:space="preserve"> that </w:t>
      </w:r>
      <w:r w:rsidRPr="005D0E60">
        <w:rPr>
          <w:rFonts w:ascii="Arial" w:hAnsi="Arial" w:cs="Arial"/>
        </w:rPr>
        <w:t xml:space="preserve">may mean different methodologies are appropriate. </w:t>
      </w:r>
      <w:r>
        <w:rPr>
          <w:rFonts w:ascii="Arial" w:hAnsi="Arial" w:cs="Arial"/>
        </w:rPr>
        <w:t>For example, r</w:t>
      </w:r>
      <w:r w:rsidR="0064190E" w:rsidRPr="005D0E60">
        <w:rPr>
          <w:rFonts w:ascii="Arial" w:hAnsi="Arial" w:cs="Arial"/>
        </w:rPr>
        <w:t>esearch undertaken as part of a Review of School Operational Grant Funding in 2000 looked specifically at the isolation adjustment of the Property Maint</w:t>
      </w:r>
      <w:r w:rsidR="00AC740D" w:rsidRPr="005D0E60">
        <w:rPr>
          <w:rFonts w:ascii="Arial" w:hAnsi="Arial" w:cs="Arial"/>
        </w:rPr>
        <w:t>enance Grant</w:t>
      </w:r>
      <w:r w:rsidR="006A7BC1">
        <w:rPr>
          <w:rFonts w:ascii="Arial" w:hAnsi="Arial" w:cs="Arial"/>
        </w:rPr>
        <w:t xml:space="preserve">. </w:t>
      </w:r>
      <w:r w:rsidR="00AC740D" w:rsidRPr="005D0E60">
        <w:rPr>
          <w:rFonts w:ascii="Arial" w:hAnsi="Arial" w:cs="Arial"/>
        </w:rPr>
        <w:t>It</w:t>
      </w:r>
      <w:r w:rsidR="0064190E" w:rsidRPr="005D0E60">
        <w:rPr>
          <w:rFonts w:ascii="Arial" w:hAnsi="Arial" w:cs="Arial"/>
        </w:rPr>
        <w:t xml:space="preserve"> suggested that most maintenance services could be sourced from population centres of at least 5,000. </w:t>
      </w:r>
    </w:p>
    <w:p w:rsidR="00726978" w:rsidRPr="00726978" w:rsidRDefault="00726978" w:rsidP="00726978">
      <w:pPr>
        <w:pStyle w:val="ListParagraph"/>
        <w:ind w:left="709"/>
        <w:jc w:val="both"/>
        <w:rPr>
          <w:rFonts w:ascii="Arial" w:hAnsi="Arial" w:cs="Arial"/>
          <w:sz w:val="24"/>
          <w:szCs w:val="24"/>
        </w:rPr>
      </w:pPr>
    </w:p>
    <w:p w:rsidR="000A3193" w:rsidRDefault="000A3193" w:rsidP="00726978">
      <w:pPr>
        <w:pStyle w:val="BlueSubheading3"/>
        <w:spacing w:before="0" w:after="0"/>
        <w:rPr>
          <w:sz w:val="24"/>
        </w:rPr>
      </w:pPr>
      <w:r w:rsidRPr="002608FB">
        <w:rPr>
          <w:sz w:val="24"/>
        </w:rPr>
        <w:t>Insights from international jurisdictions</w:t>
      </w:r>
      <w:bookmarkEnd w:id="2"/>
      <w:r w:rsidRPr="002608FB">
        <w:rPr>
          <w:sz w:val="24"/>
        </w:rPr>
        <w:t xml:space="preserve"> </w:t>
      </w:r>
    </w:p>
    <w:p w:rsidR="00726978" w:rsidRPr="00726978" w:rsidRDefault="00726978" w:rsidP="00726978">
      <w:pPr>
        <w:pStyle w:val="BlueSubheading3"/>
        <w:spacing w:before="0" w:after="0"/>
        <w:rPr>
          <w:szCs w:val="20"/>
        </w:rPr>
      </w:pPr>
    </w:p>
    <w:p w:rsidR="000A3193" w:rsidRDefault="000A3193" w:rsidP="00726978">
      <w:pPr>
        <w:pStyle w:val="MoEBodyText"/>
        <w:spacing w:after="0" w:line="240" w:lineRule="auto"/>
        <w:jc w:val="both"/>
        <w:rPr>
          <w:sz w:val="22"/>
          <w:szCs w:val="22"/>
        </w:rPr>
      </w:pPr>
      <w:r w:rsidRPr="000A3193">
        <w:rPr>
          <w:sz w:val="22"/>
          <w:szCs w:val="22"/>
        </w:rPr>
        <w:t>A number of international jurisdictions have policies in place to target funding to schools in isolated areas. This is despite quite diverse scales of isolation across the different jurisdictions (</w:t>
      </w:r>
      <w:r w:rsidR="006A7BC1">
        <w:rPr>
          <w:sz w:val="22"/>
          <w:szCs w:val="22"/>
        </w:rPr>
        <w:t>e.g.</w:t>
      </w:r>
      <w:r w:rsidRPr="000A3193">
        <w:rPr>
          <w:sz w:val="22"/>
          <w:szCs w:val="22"/>
        </w:rPr>
        <w:t xml:space="preserve"> Western Australia has a population density of 0.95 people per square kilometre, while the UK has a population density of 225.6 people per square kilometre).</w:t>
      </w:r>
      <w:r>
        <w:rPr>
          <w:rStyle w:val="FootnoteReference"/>
          <w:sz w:val="22"/>
          <w:szCs w:val="22"/>
        </w:rPr>
        <w:footnoteReference w:id="5"/>
      </w:r>
      <w:r w:rsidRPr="000A3193">
        <w:rPr>
          <w:sz w:val="22"/>
          <w:szCs w:val="22"/>
        </w:rPr>
        <w:t xml:space="preserve"> </w:t>
      </w:r>
    </w:p>
    <w:p w:rsidR="00726978" w:rsidRPr="000A3193" w:rsidRDefault="00726978" w:rsidP="00726978">
      <w:pPr>
        <w:pStyle w:val="MoEBodyText"/>
        <w:spacing w:after="0" w:line="240" w:lineRule="auto"/>
        <w:jc w:val="both"/>
        <w:rPr>
          <w:sz w:val="22"/>
          <w:szCs w:val="22"/>
        </w:rPr>
      </w:pPr>
    </w:p>
    <w:p w:rsidR="000A3193" w:rsidRDefault="007034DA" w:rsidP="00726978">
      <w:pPr>
        <w:pStyle w:val="MoEBodyText"/>
        <w:spacing w:after="0" w:line="240" w:lineRule="auto"/>
        <w:jc w:val="both"/>
        <w:rPr>
          <w:sz w:val="22"/>
          <w:szCs w:val="22"/>
        </w:rPr>
      </w:pPr>
      <w:r>
        <w:rPr>
          <w:sz w:val="22"/>
          <w:szCs w:val="22"/>
        </w:rPr>
        <w:t>There are</w:t>
      </w:r>
      <w:r w:rsidR="000A3193">
        <w:rPr>
          <w:sz w:val="22"/>
          <w:szCs w:val="22"/>
        </w:rPr>
        <w:t xml:space="preserve"> a number of similarities and differences which can inform thinking about the New Zealand context:</w:t>
      </w:r>
    </w:p>
    <w:p w:rsidR="00726978" w:rsidRDefault="00726978" w:rsidP="00726978">
      <w:pPr>
        <w:pStyle w:val="MoEBodyText"/>
        <w:spacing w:after="0" w:line="240" w:lineRule="auto"/>
        <w:jc w:val="both"/>
        <w:rPr>
          <w:sz w:val="22"/>
          <w:szCs w:val="22"/>
        </w:rPr>
      </w:pPr>
    </w:p>
    <w:p w:rsidR="002608FB" w:rsidRDefault="00F323A3" w:rsidP="00D215F4">
      <w:pPr>
        <w:pStyle w:val="MoEBodyText"/>
        <w:numPr>
          <w:ilvl w:val="1"/>
          <w:numId w:val="8"/>
        </w:numPr>
        <w:spacing w:after="0" w:line="240" w:lineRule="auto"/>
        <w:ind w:left="567" w:hanging="283"/>
        <w:jc w:val="both"/>
        <w:rPr>
          <w:sz w:val="22"/>
          <w:szCs w:val="22"/>
        </w:rPr>
      </w:pPr>
      <w:r>
        <w:rPr>
          <w:b/>
          <w:sz w:val="22"/>
          <w:szCs w:val="22"/>
        </w:rPr>
        <w:t>M</w:t>
      </w:r>
      <w:r w:rsidR="000A3193" w:rsidRPr="00690274">
        <w:rPr>
          <w:b/>
          <w:sz w:val="22"/>
          <w:szCs w:val="22"/>
        </w:rPr>
        <w:t>ethods of measuring ‘isolation’</w:t>
      </w:r>
      <w:r w:rsidR="000A3193">
        <w:rPr>
          <w:sz w:val="22"/>
          <w:szCs w:val="22"/>
        </w:rPr>
        <w:t xml:space="preserve"> – </w:t>
      </w:r>
      <w:r>
        <w:rPr>
          <w:sz w:val="22"/>
          <w:szCs w:val="22"/>
        </w:rPr>
        <w:t>S</w:t>
      </w:r>
      <w:r w:rsidR="00666BA9">
        <w:rPr>
          <w:sz w:val="22"/>
          <w:szCs w:val="22"/>
        </w:rPr>
        <w:t>ome</w:t>
      </w:r>
      <w:r w:rsidR="000A3193">
        <w:rPr>
          <w:sz w:val="22"/>
          <w:szCs w:val="22"/>
        </w:rPr>
        <w:t xml:space="preserve"> jurisdictions </w:t>
      </w:r>
      <w:r w:rsidR="00666BA9">
        <w:rPr>
          <w:sz w:val="22"/>
          <w:szCs w:val="22"/>
        </w:rPr>
        <w:t>use a</w:t>
      </w:r>
      <w:r w:rsidR="000A3193">
        <w:rPr>
          <w:sz w:val="22"/>
          <w:szCs w:val="22"/>
        </w:rPr>
        <w:t xml:space="preserve"> formulaic methodolog</w:t>
      </w:r>
      <w:r w:rsidR="00666BA9">
        <w:rPr>
          <w:sz w:val="22"/>
          <w:szCs w:val="22"/>
        </w:rPr>
        <w:t xml:space="preserve">y while others use </w:t>
      </w:r>
      <w:r w:rsidR="000A3193">
        <w:rPr>
          <w:sz w:val="22"/>
          <w:szCs w:val="22"/>
        </w:rPr>
        <w:t>a school’s actual distance from particular cen</w:t>
      </w:r>
      <w:r w:rsidR="00C52CD5">
        <w:rPr>
          <w:sz w:val="22"/>
          <w:szCs w:val="22"/>
        </w:rPr>
        <w:t>tre sizes or other schools (e.g. Alberta uses</w:t>
      </w:r>
      <w:r w:rsidR="000A3193">
        <w:rPr>
          <w:sz w:val="22"/>
          <w:szCs w:val="22"/>
        </w:rPr>
        <w:t xml:space="preserve"> defined ‘zones’ determined by parallels of latitude). The benefit of a formulaic approach is that it recognises varying degrees of isolation and provides funding accordingly, while actual di</w:t>
      </w:r>
      <w:r w:rsidR="007034DA">
        <w:rPr>
          <w:sz w:val="22"/>
          <w:szCs w:val="22"/>
        </w:rPr>
        <w:t>stances can result in blunt cut-</w:t>
      </w:r>
      <w:r w:rsidR="000A3193">
        <w:rPr>
          <w:sz w:val="22"/>
          <w:szCs w:val="22"/>
        </w:rPr>
        <w:t>off p</w:t>
      </w:r>
      <w:r w:rsidR="00C52CD5">
        <w:rPr>
          <w:sz w:val="22"/>
          <w:szCs w:val="22"/>
        </w:rPr>
        <w:t>oints for funding eligibility/</w:t>
      </w:r>
      <w:r>
        <w:rPr>
          <w:sz w:val="22"/>
          <w:szCs w:val="22"/>
        </w:rPr>
        <w:t>amount.</w:t>
      </w:r>
      <w:r w:rsidR="000A3193">
        <w:rPr>
          <w:sz w:val="22"/>
          <w:szCs w:val="22"/>
        </w:rPr>
        <w:t xml:space="preserve"> </w:t>
      </w:r>
    </w:p>
    <w:p w:rsidR="00726978" w:rsidRDefault="00726978" w:rsidP="00726978">
      <w:pPr>
        <w:pStyle w:val="MoEBodyText"/>
        <w:spacing w:after="0" w:line="240" w:lineRule="auto"/>
        <w:ind w:left="709"/>
        <w:jc w:val="both"/>
        <w:rPr>
          <w:sz w:val="22"/>
          <w:szCs w:val="22"/>
        </w:rPr>
      </w:pPr>
    </w:p>
    <w:p w:rsidR="002608FB" w:rsidRDefault="000A3193" w:rsidP="00D215F4">
      <w:pPr>
        <w:pStyle w:val="MoEBodyText"/>
        <w:numPr>
          <w:ilvl w:val="1"/>
          <w:numId w:val="8"/>
        </w:numPr>
        <w:spacing w:after="0" w:line="240" w:lineRule="auto"/>
        <w:ind w:left="567" w:hanging="283"/>
        <w:jc w:val="both"/>
        <w:rPr>
          <w:sz w:val="22"/>
          <w:szCs w:val="22"/>
        </w:rPr>
      </w:pPr>
      <w:r w:rsidRPr="002608FB">
        <w:rPr>
          <w:b/>
          <w:sz w:val="22"/>
          <w:szCs w:val="22"/>
        </w:rPr>
        <w:t>Proximity to major cities</w:t>
      </w:r>
      <w:r w:rsidRPr="002608FB">
        <w:rPr>
          <w:sz w:val="22"/>
          <w:szCs w:val="22"/>
        </w:rPr>
        <w:t xml:space="preserve"> –</w:t>
      </w:r>
      <w:r w:rsidR="00E11F20">
        <w:rPr>
          <w:sz w:val="22"/>
          <w:szCs w:val="22"/>
        </w:rPr>
        <w:t xml:space="preserve"> </w:t>
      </w:r>
      <w:r w:rsidR="00D312BF">
        <w:rPr>
          <w:sz w:val="22"/>
          <w:szCs w:val="22"/>
        </w:rPr>
        <w:t>A</w:t>
      </w:r>
      <w:r w:rsidRPr="002608FB">
        <w:rPr>
          <w:sz w:val="22"/>
          <w:szCs w:val="22"/>
        </w:rPr>
        <w:t xml:space="preserve"> number of other jurisdictions consider the distance to major cities. For example, in </w:t>
      </w:r>
      <w:r w:rsidR="00E40225">
        <w:rPr>
          <w:sz w:val="22"/>
          <w:szCs w:val="22"/>
        </w:rPr>
        <w:t>Victoria, Australia,</w:t>
      </w:r>
      <w:r w:rsidRPr="002608FB">
        <w:rPr>
          <w:sz w:val="22"/>
          <w:szCs w:val="22"/>
        </w:rPr>
        <w:t xml:space="preserve"> a school’s distance from Melbourne has a bearing on its funding for rurality and isolation. This is likely to result in schools that are not particularly isolated receiving some additional funding.</w:t>
      </w:r>
    </w:p>
    <w:p w:rsidR="00726978" w:rsidRPr="00726978" w:rsidRDefault="00726978" w:rsidP="00726978">
      <w:pPr>
        <w:pStyle w:val="ListParagraph"/>
        <w:rPr>
          <w:rFonts w:ascii="Arial" w:hAnsi="Arial" w:cs="Arial"/>
        </w:rPr>
      </w:pPr>
    </w:p>
    <w:p w:rsidR="002608FB" w:rsidRDefault="000A3193" w:rsidP="00D215F4">
      <w:pPr>
        <w:pStyle w:val="MoEBodyText"/>
        <w:numPr>
          <w:ilvl w:val="1"/>
          <w:numId w:val="8"/>
        </w:numPr>
        <w:spacing w:after="0" w:line="240" w:lineRule="auto"/>
        <w:ind w:left="567" w:hanging="283"/>
        <w:jc w:val="both"/>
        <w:rPr>
          <w:sz w:val="22"/>
          <w:szCs w:val="22"/>
        </w:rPr>
      </w:pPr>
      <w:r w:rsidRPr="002608FB">
        <w:rPr>
          <w:b/>
          <w:sz w:val="22"/>
          <w:szCs w:val="22"/>
        </w:rPr>
        <w:t>Road conditions and mode of travel</w:t>
      </w:r>
      <w:r w:rsidRPr="002608FB">
        <w:rPr>
          <w:sz w:val="22"/>
          <w:szCs w:val="22"/>
        </w:rPr>
        <w:t xml:space="preserve"> – The British Columbia model recognises that the type of road travelled on (i.e. sealed, gravel), and travel required over water, ha</w:t>
      </w:r>
      <w:r w:rsidR="00E11F20">
        <w:rPr>
          <w:sz w:val="22"/>
          <w:szCs w:val="22"/>
        </w:rPr>
        <w:t>s an impact on costs</w:t>
      </w:r>
      <w:r w:rsidRPr="002608FB">
        <w:rPr>
          <w:sz w:val="22"/>
          <w:szCs w:val="22"/>
        </w:rPr>
        <w:t>. While these fac</w:t>
      </w:r>
      <w:r w:rsidR="00E11F20">
        <w:rPr>
          <w:sz w:val="22"/>
          <w:szCs w:val="22"/>
        </w:rPr>
        <w:t>tors may have a bearing on costs</w:t>
      </w:r>
      <w:r w:rsidRPr="002608FB">
        <w:rPr>
          <w:sz w:val="22"/>
          <w:szCs w:val="22"/>
        </w:rPr>
        <w:t>, a model like this does create a degree of administrative burden (</w:t>
      </w:r>
      <w:r w:rsidR="0080005F">
        <w:rPr>
          <w:sz w:val="22"/>
          <w:szCs w:val="22"/>
        </w:rPr>
        <w:t>e.g. requiring</w:t>
      </w:r>
      <w:r w:rsidRPr="002608FB">
        <w:rPr>
          <w:sz w:val="22"/>
          <w:szCs w:val="22"/>
        </w:rPr>
        <w:t xml:space="preserve"> updating as road conditions change)</w:t>
      </w:r>
      <w:r w:rsidR="00666BA9">
        <w:rPr>
          <w:sz w:val="22"/>
          <w:szCs w:val="22"/>
        </w:rPr>
        <w:t xml:space="preserve">. </w:t>
      </w:r>
    </w:p>
    <w:p w:rsidR="00726978" w:rsidRDefault="00726978" w:rsidP="00726978">
      <w:pPr>
        <w:pStyle w:val="MoEBodyText"/>
        <w:spacing w:after="0" w:line="240" w:lineRule="auto"/>
        <w:ind w:left="709"/>
        <w:jc w:val="both"/>
        <w:rPr>
          <w:sz w:val="22"/>
          <w:szCs w:val="22"/>
        </w:rPr>
      </w:pPr>
    </w:p>
    <w:p w:rsidR="00D82494" w:rsidRDefault="000A3193" w:rsidP="00D215F4">
      <w:pPr>
        <w:pStyle w:val="MoEBodyText"/>
        <w:numPr>
          <w:ilvl w:val="1"/>
          <w:numId w:val="8"/>
        </w:numPr>
        <w:spacing w:after="0" w:line="240" w:lineRule="auto"/>
        <w:ind w:left="567" w:hanging="283"/>
        <w:jc w:val="both"/>
        <w:rPr>
          <w:sz w:val="22"/>
          <w:szCs w:val="22"/>
        </w:rPr>
      </w:pPr>
      <w:r w:rsidRPr="002608FB">
        <w:rPr>
          <w:b/>
          <w:sz w:val="22"/>
          <w:szCs w:val="22"/>
        </w:rPr>
        <w:t>Impact of distances between schools</w:t>
      </w:r>
      <w:r w:rsidRPr="002608FB">
        <w:rPr>
          <w:sz w:val="22"/>
          <w:szCs w:val="22"/>
        </w:rPr>
        <w:t xml:space="preserve"> – </w:t>
      </w:r>
      <w:r w:rsidR="00D312BF">
        <w:rPr>
          <w:sz w:val="22"/>
          <w:szCs w:val="22"/>
        </w:rPr>
        <w:t xml:space="preserve">A number of </w:t>
      </w:r>
      <w:r w:rsidRPr="002608FB">
        <w:rPr>
          <w:sz w:val="22"/>
          <w:szCs w:val="22"/>
        </w:rPr>
        <w:t>jurisdictions</w:t>
      </w:r>
      <w:r w:rsidR="00D312BF">
        <w:rPr>
          <w:sz w:val="22"/>
          <w:szCs w:val="22"/>
        </w:rPr>
        <w:t>, including N</w:t>
      </w:r>
      <w:r w:rsidR="006A7BC1">
        <w:rPr>
          <w:sz w:val="22"/>
          <w:szCs w:val="22"/>
        </w:rPr>
        <w:t>ew South Wales</w:t>
      </w:r>
      <w:r w:rsidR="00D312BF">
        <w:rPr>
          <w:sz w:val="22"/>
          <w:szCs w:val="22"/>
        </w:rPr>
        <w:t xml:space="preserve"> and Saskatchewan, take into account</w:t>
      </w:r>
      <w:r w:rsidR="00666BA9">
        <w:rPr>
          <w:sz w:val="22"/>
          <w:szCs w:val="22"/>
        </w:rPr>
        <w:t xml:space="preserve"> the distance from service centres and the distance from other schools (of the same or different type). This would appear to recognise different drivers of cost, but at the same time there is likely to be a correlati</w:t>
      </w:r>
      <w:r w:rsidR="00D82494">
        <w:rPr>
          <w:sz w:val="22"/>
          <w:szCs w:val="22"/>
        </w:rPr>
        <w:t xml:space="preserve">on between a school’s distance from a service centre and from other schools.  </w:t>
      </w:r>
    </w:p>
    <w:p w:rsidR="00726978" w:rsidRDefault="00726978" w:rsidP="00726978">
      <w:pPr>
        <w:pStyle w:val="ListParagraph"/>
      </w:pPr>
    </w:p>
    <w:p w:rsidR="002608FB" w:rsidRDefault="000A3193" w:rsidP="00D215F4">
      <w:pPr>
        <w:pStyle w:val="MoEBodyText"/>
        <w:numPr>
          <w:ilvl w:val="1"/>
          <w:numId w:val="8"/>
        </w:numPr>
        <w:spacing w:after="0" w:line="240" w:lineRule="auto"/>
        <w:ind w:left="567" w:hanging="283"/>
        <w:jc w:val="both"/>
        <w:rPr>
          <w:sz w:val="22"/>
          <w:szCs w:val="22"/>
        </w:rPr>
      </w:pPr>
      <w:r w:rsidRPr="00C83C1A">
        <w:rPr>
          <w:b/>
          <w:sz w:val="22"/>
          <w:szCs w:val="22"/>
        </w:rPr>
        <w:t>Isolation and size</w:t>
      </w:r>
      <w:r>
        <w:rPr>
          <w:sz w:val="22"/>
          <w:szCs w:val="22"/>
        </w:rPr>
        <w:t xml:space="preserve"> – A number of the jurisdictions </w:t>
      </w:r>
      <w:r w:rsidR="00D82494">
        <w:rPr>
          <w:sz w:val="22"/>
          <w:szCs w:val="22"/>
        </w:rPr>
        <w:t xml:space="preserve">only </w:t>
      </w:r>
      <w:r>
        <w:rPr>
          <w:sz w:val="22"/>
          <w:szCs w:val="22"/>
        </w:rPr>
        <w:t xml:space="preserve">provide funding for isolated </w:t>
      </w:r>
      <w:r w:rsidR="00D82494">
        <w:rPr>
          <w:sz w:val="22"/>
          <w:szCs w:val="22"/>
        </w:rPr>
        <w:t xml:space="preserve">schools that are small. </w:t>
      </w:r>
      <w:r>
        <w:rPr>
          <w:sz w:val="22"/>
          <w:szCs w:val="22"/>
        </w:rPr>
        <w:t xml:space="preserve">For example, schools in the UK are only eligible </w:t>
      </w:r>
      <w:r w:rsidR="0080005F">
        <w:rPr>
          <w:sz w:val="22"/>
          <w:szCs w:val="22"/>
        </w:rPr>
        <w:t>for sparsity funding if they have</w:t>
      </w:r>
      <w:r>
        <w:rPr>
          <w:sz w:val="22"/>
          <w:szCs w:val="22"/>
        </w:rPr>
        <w:t xml:space="preserve"> rolls of less than 150 (primary school) or 600 (any other school). Other</w:t>
      </w:r>
      <w:r w:rsidR="00D82494">
        <w:rPr>
          <w:sz w:val="22"/>
          <w:szCs w:val="22"/>
        </w:rPr>
        <w:t xml:space="preserve"> jurisdictions provide </w:t>
      </w:r>
      <w:r>
        <w:rPr>
          <w:sz w:val="22"/>
          <w:szCs w:val="22"/>
        </w:rPr>
        <w:t xml:space="preserve">separate funding streams or loadings for schools that are </w:t>
      </w:r>
      <w:r w:rsidR="00E11F20">
        <w:rPr>
          <w:sz w:val="22"/>
          <w:szCs w:val="22"/>
        </w:rPr>
        <w:t>small</w:t>
      </w:r>
      <w:r>
        <w:rPr>
          <w:sz w:val="22"/>
          <w:szCs w:val="22"/>
        </w:rPr>
        <w:t>.</w:t>
      </w:r>
    </w:p>
    <w:p w:rsidR="00726978" w:rsidRDefault="00726978" w:rsidP="00726978">
      <w:pPr>
        <w:pStyle w:val="MoEBodyText"/>
        <w:spacing w:after="0" w:line="240" w:lineRule="auto"/>
        <w:ind w:left="709"/>
        <w:jc w:val="both"/>
        <w:rPr>
          <w:sz w:val="22"/>
          <w:szCs w:val="22"/>
        </w:rPr>
      </w:pPr>
    </w:p>
    <w:p w:rsidR="002608FB" w:rsidRDefault="000A3193" w:rsidP="00D215F4">
      <w:pPr>
        <w:pStyle w:val="MoEBodyText"/>
        <w:numPr>
          <w:ilvl w:val="1"/>
          <w:numId w:val="8"/>
        </w:numPr>
        <w:spacing w:after="0" w:line="240" w:lineRule="auto"/>
        <w:ind w:left="567" w:hanging="283"/>
        <w:jc w:val="both"/>
        <w:rPr>
          <w:sz w:val="22"/>
          <w:szCs w:val="22"/>
        </w:rPr>
      </w:pPr>
      <w:r w:rsidRPr="002608FB">
        <w:rPr>
          <w:b/>
          <w:sz w:val="22"/>
          <w:szCs w:val="22"/>
        </w:rPr>
        <w:t>Isolation and rurality</w:t>
      </w:r>
      <w:r w:rsidRPr="002608FB">
        <w:rPr>
          <w:sz w:val="22"/>
          <w:szCs w:val="22"/>
        </w:rPr>
        <w:t xml:space="preserve"> – A number of jurisdictions</w:t>
      </w:r>
      <w:r w:rsidR="00930A85">
        <w:rPr>
          <w:sz w:val="22"/>
          <w:szCs w:val="22"/>
        </w:rPr>
        <w:t>,</w:t>
      </w:r>
      <w:r w:rsidR="00930A85" w:rsidRPr="00930A85">
        <w:rPr>
          <w:sz w:val="22"/>
          <w:szCs w:val="22"/>
        </w:rPr>
        <w:t xml:space="preserve"> </w:t>
      </w:r>
      <w:r w:rsidR="00930A85" w:rsidRPr="002608FB">
        <w:rPr>
          <w:sz w:val="22"/>
          <w:szCs w:val="22"/>
        </w:rPr>
        <w:t>for example</w:t>
      </w:r>
      <w:r w:rsidR="00930A85">
        <w:rPr>
          <w:sz w:val="22"/>
          <w:szCs w:val="22"/>
        </w:rPr>
        <w:t xml:space="preserve"> Victoria and British Columbia, </w:t>
      </w:r>
      <w:r w:rsidRPr="002608FB">
        <w:rPr>
          <w:sz w:val="22"/>
          <w:szCs w:val="22"/>
        </w:rPr>
        <w:t xml:space="preserve"> have separate funding stre</w:t>
      </w:r>
      <w:r w:rsidR="00E11F20">
        <w:rPr>
          <w:sz w:val="22"/>
          <w:szCs w:val="22"/>
        </w:rPr>
        <w:t xml:space="preserve">ams for isolation and rurality, </w:t>
      </w:r>
      <w:r w:rsidR="00D82494">
        <w:rPr>
          <w:sz w:val="22"/>
          <w:szCs w:val="22"/>
        </w:rPr>
        <w:t>reflecting a judgement that the issues faced by isolated schools are distinct from those for schools in rural areas.</w:t>
      </w:r>
      <w:r w:rsidRPr="002608FB">
        <w:rPr>
          <w:sz w:val="22"/>
          <w:szCs w:val="22"/>
        </w:rPr>
        <w:t xml:space="preserve"> </w:t>
      </w:r>
    </w:p>
    <w:p w:rsidR="00726978" w:rsidRDefault="00726978" w:rsidP="00726978">
      <w:pPr>
        <w:pStyle w:val="MoEBodyText"/>
        <w:spacing w:after="0" w:line="240" w:lineRule="auto"/>
        <w:ind w:left="709"/>
        <w:jc w:val="both"/>
        <w:rPr>
          <w:sz w:val="22"/>
          <w:szCs w:val="22"/>
        </w:rPr>
      </w:pPr>
    </w:p>
    <w:p w:rsidR="000A3193" w:rsidRDefault="000A3193" w:rsidP="00D215F4">
      <w:pPr>
        <w:pStyle w:val="MoEBodyText"/>
        <w:numPr>
          <w:ilvl w:val="1"/>
          <w:numId w:val="8"/>
        </w:numPr>
        <w:spacing w:after="0" w:line="240" w:lineRule="auto"/>
        <w:ind w:left="567" w:hanging="283"/>
        <w:jc w:val="both"/>
        <w:rPr>
          <w:sz w:val="22"/>
          <w:szCs w:val="22"/>
        </w:rPr>
      </w:pPr>
      <w:r w:rsidRPr="002608FB">
        <w:rPr>
          <w:b/>
          <w:sz w:val="22"/>
          <w:szCs w:val="22"/>
        </w:rPr>
        <w:t>Differentiating between cost</w:t>
      </w:r>
      <w:r w:rsidR="0080005F">
        <w:rPr>
          <w:b/>
          <w:sz w:val="22"/>
          <w:szCs w:val="22"/>
        </w:rPr>
        <w:t>s</w:t>
      </w:r>
      <w:r w:rsidRPr="002608FB">
        <w:rPr>
          <w:b/>
          <w:sz w:val="22"/>
          <w:szCs w:val="22"/>
        </w:rPr>
        <w:t xml:space="preserve"> relating to teaching and learning, and access to goods and services</w:t>
      </w:r>
      <w:r w:rsidRPr="002608FB">
        <w:rPr>
          <w:sz w:val="22"/>
          <w:szCs w:val="22"/>
        </w:rPr>
        <w:t xml:space="preserve"> – The N</w:t>
      </w:r>
      <w:r w:rsidR="006A7BC1">
        <w:rPr>
          <w:sz w:val="22"/>
          <w:szCs w:val="22"/>
        </w:rPr>
        <w:t>ew South Wales</w:t>
      </w:r>
      <w:r w:rsidRPr="002608FB">
        <w:rPr>
          <w:sz w:val="22"/>
          <w:szCs w:val="22"/>
        </w:rPr>
        <w:t xml:space="preserve"> model recognises that some schools are disadvantaged due to isolation (distance from other schools and the capacity to interact for teacher professional learning) and remoteness (distance from population centres and the additional costs of go</w:t>
      </w:r>
      <w:r w:rsidR="00D215F4">
        <w:rPr>
          <w:sz w:val="22"/>
          <w:szCs w:val="22"/>
        </w:rPr>
        <w:t>ods and services as a result).</w:t>
      </w:r>
      <w:r w:rsidRPr="002608FB">
        <w:rPr>
          <w:sz w:val="22"/>
          <w:szCs w:val="22"/>
        </w:rPr>
        <w:t xml:space="preserve"> </w:t>
      </w:r>
    </w:p>
    <w:p w:rsidR="007034DA" w:rsidRPr="002608FB" w:rsidRDefault="007034DA" w:rsidP="007034DA">
      <w:pPr>
        <w:pStyle w:val="MoEBodyText"/>
        <w:spacing w:after="0" w:line="240" w:lineRule="auto"/>
        <w:jc w:val="both"/>
        <w:rPr>
          <w:sz w:val="22"/>
          <w:szCs w:val="22"/>
        </w:rPr>
      </w:pPr>
    </w:p>
    <w:p w:rsidR="000A3193" w:rsidRDefault="000A3193" w:rsidP="00D215F4">
      <w:pPr>
        <w:pStyle w:val="BlueSubheading3"/>
        <w:spacing w:before="0" w:after="0"/>
        <w:rPr>
          <w:sz w:val="24"/>
        </w:rPr>
      </w:pPr>
      <w:bookmarkStart w:id="4" w:name="_Toc443578246"/>
      <w:r w:rsidRPr="003515C9">
        <w:rPr>
          <w:sz w:val="24"/>
        </w:rPr>
        <w:t xml:space="preserve">High level options </w:t>
      </w:r>
      <w:bookmarkEnd w:id="4"/>
    </w:p>
    <w:p w:rsidR="00D215F4" w:rsidRPr="00D215F4" w:rsidRDefault="00D215F4" w:rsidP="00D215F4">
      <w:pPr>
        <w:pStyle w:val="BlueSubheading3"/>
        <w:spacing w:before="0" w:after="0"/>
        <w:rPr>
          <w:szCs w:val="20"/>
        </w:rPr>
      </w:pPr>
    </w:p>
    <w:p w:rsidR="00D312BF" w:rsidRDefault="005F4163" w:rsidP="00D215F4">
      <w:pPr>
        <w:pStyle w:val="MoENumberedList"/>
        <w:numPr>
          <w:ilvl w:val="0"/>
          <w:numId w:val="0"/>
        </w:numPr>
        <w:spacing w:after="0"/>
        <w:jc w:val="both"/>
        <w:rPr>
          <w:sz w:val="22"/>
        </w:rPr>
      </w:pPr>
      <w:r>
        <w:rPr>
          <w:sz w:val="22"/>
        </w:rPr>
        <w:t xml:space="preserve">Directions for </w:t>
      </w:r>
      <w:r w:rsidR="000A3193" w:rsidRPr="00996A4A">
        <w:rPr>
          <w:sz w:val="22"/>
        </w:rPr>
        <w:t xml:space="preserve">change </w:t>
      </w:r>
      <w:r w:rsidR="006A1BE8">
        <w:rPr>
          <w:sz w:val="22"/>
        </w:rPr>
        <w:t xml:space="preserve">that </w:t>
      </w:r>
      <w:r w:rsidR="007034DA">
        <w:rPr>
          <w:sz w:val="22"/>
        </w:rPr>
        <w:t>might</w:t>
      </w:r>
      <w:r w:rsidR="006A1BE8">
        <w:rPr>
          <w:sz w:val="22"/>
        </w:rPr>
        <w:t xml:space="preserve"> be useful to explore </w:t>
      </w:r>
      <w:bookmarkStart w:id="5" w:name="_Toc443578268"/>
      <w:r w:rsidR="00867415">
        <w:rPr>
          <w:sz w:val="22"/>
        </w:rPr>
        <w:t>include</w:t>
      </w:r>
      <w:r w:rsidR="00D312BF">
        <w:rPr>
          <w:sz w:val="22"/>
        </w:rPr>
        <w:t>:</w:t>
      </w:r>
    </w:p>
    <w:p w:rsidR="00D215F4" w:rsidRDefault="00D215F4" w:rsidP="00D215F4">
      <w:pPr>
        <w:pStyle w:val="MoENumberedList"/>
        <w:numPr>
          <w:ilvl w:val="0"/>
          <w:numId w:val="0"/>
        </w:numPr>
        <w:spacing w:after="0"/>
        <w:jc w:val="both"/>
        <w:rPr>
          <w:sz w:val="22"/>
        </w:rPr>
      </w:pPr>
    </w:p>
    <w:p w:rsidR="001A1429" w:rsidRDefault="001A1429" w:rsidP="00D215F4">
      <w:pPr>
        <w:pStyle w:val="MoEBodyText"/>
        <w:numPr>
          <w:ilvl w:val="1"/>
          <w:numId w:val="17"/>
        </w:numPr>
        <w:spacing w:after="0" w:line="240" w:lineRule="auto"/>
        <w:ind w:left="567" w:hanging="283"/>
        <w:jc w:val="both"/>
        <w:rPr>
          <w:sz w:val="22"/>
          <w:szCs w:val="22"/>
        </w:rPr>
      </w:pPr>
      <w:r>
        <w:rPr>
          <w:sz w:val="22"/>
          <w:szCs w:val="22"/>
        </w:rPr>
        <w:t>As a minimum, updating the census data used to calculate the isolation index, because the current system creates unjustified funding inequities due to the outdated dataset.</w:t>
      </w:r>
    </w:p>
    <w:p w:rsidR="00D215F4" w:rsidRDefault="00D215F4" w:rsidP="00D215F4">
      <w:pPr>
        <w:pStyle w:val="MoEBodyText"/>
        <w:spacing w:after="0" w:line="240" w:lineRule="auto"/>
        <w:ind w:left="709"/>
        <w:jc w:val="both"/>
        <w:rPr>
          <w:sz w:val="22"/>
          <w:szCs w:val="22"/>
        </w:rPr>
      </w:pPr>
    </w:p>
    <w:p w:rsidR="006A1BE8" w:rsidRDefault="005F4163" w:rsidP="00D215F4">
      <w:pPr>
        <w:pStyle w:val="MoEBodyText"/>
        <w:numPr>
          <w:ilvl w:val="1"/>
          <w:numId w:val="17"/>
        </w:numPr>
        <w:spacing w:after="0" w:line="240" w:lineRule="auto"/>
        <w:ind w:left="567" w:hanging="283"/>
        <w:jc w:val="both"/>
        <w:rPr>
          <w:sz w:val="22"/>
          <w:szCs w:val="22"/>
        </w:rPr>
      </w:pPr>
      <w:r>
        <w:rPr>
          <w:sz w:val="22"/>
          <w:szCs w:val="22"/>
        </w:rPr>
        <w:t>C</w:t>
      </w:r>
      <w:r w:rsidR="006A1BE8">
        <w:rPr>
          <w:sz w:val="22"/>
          <w:szCs w:val="22"/>
        </w:rPr>
        <w:t>onsidering the usefulness of inc</w:t>
      </w:r>
      <w:r w:rsidR="003320A3">
        <w:rPr>
          <w:sz w:val="22"/>
          <w:szCs w:val="22"/>
        </w:rPr>
        <w:t>orporating the</w:t>
      </w:r>
      <w:r w:rsidR="006A1BE8">
        <w:rPr>
          <w:sz w:val="22"/>
          <w:szCs w:val="22"/>
        </w:rPr>
        <w:t xml:space="preserve"> distance from other schools and </w:t>
      </w:r>
      <w:r w:rsidR="00B835AE" w:rsidRPr="00B835AE">
        <w:rPr>
          <w:sz w:val="22"/>
          <w:szCs w:val="22"/>
        </w:rPr>
        <w:t>early learning</w:t>
      </w:r>
      <w:r w:rsidR="006A1BE8">
        <w:rPr>
          <w:sz w:val="22"/>
          <w:szCs w:val="22"/>
        </w:rPr>
        <w:t xml:space="preserve"> services into the mode</w:t>
      </w:r>
      <w:r w:rsidR="003320A3">
        <w:rPr>
          <w:sz w:val="22"/>
          <w:szCs w:val="22"/>
        </w:rPr>
        <w:t xml:space="preserve">l. This would be consistent with a focus on supporting </w:t>
      </w:r>
      <w:r w:rsidR="006A1BE8">
        <w:rPr>
          <w:sz w:val="22"/>
          <w:szCs w:val="22"/>
        </w:rPr>
        <w:t>collaboration between schools</w:t>
      </w:r>
      <w:r w:rsidR="007034DA">
        <w:rPr>
          <w:sz w:val="22"/>
          <w:szCs w:val="22"/>
        </w:rPr>
        <w:t xml:space="preserve">, including </w:t>
      </w:r>
      <w:r w:rsidR="006A7BC1">
        <w:rPr>
          <w:sz w:val="22"/>
          <w:szCs w:val="22"/>
        </w:rPr>
        <w:t>between schools in</w:t>
      </w:r>
      <w:r w:rsidR="007034DA">
        <w:rPr>
          <w:sz w:val="22"/>
          <w:szCs w:val="22"/>
        </w:rPr>
        <w:t xml:space="preserve"> </w:t>
      </w:r>
      <w:r w:rsidR="006A7BC1">
        <w:rPr>
          <w:sz w:val="22"/>
          <w:szCs w:val="22"/>
        </w:rPr>
        <w:t>C</w:t>
      </w:r>
      <w:r w:rsidR="007034DA">
        <w:rPr>
          <w:sz w:val="22"/>
          <w:szCs w:val="22"/>
        </w:rPr>
        <w:t xml:space="preserve">ommunities of </w:t>
      </w:r>
      <w:r w:rsidR="006A7BC1">
        <w:rPr>
          <w:sz w:val="22"/>
          <w:szCs w:val="22"/>
        </w:rPr>
        <w:t>L</w:t>
      </w:r>
      <w:r w:rsidR="007034DA">
        <w:rPr>
          <w:sz w:val="22"/>
          <w:szCs w:val="22"/>
        </w:rPr>
        <w:t>earning</w:t>
      </w:r>
      <w:r w:rsidR="006A1BE8">
        <w:rPr>
          <w:sz w:val="22"/>
          <w:szCs w:val="22"/>
        </w:rPr>
        <w:t>.</w:t>
      </w:r>
    </w:p>
    <w:p w:rsidR="00D215F4" w:rsidRDefault="00D215F4" w:rsidP="00D215F4">
      <w:pPr>
        <w:pStyle w:val="MoEBodyText"/>
        <w:spacing w:after="0" w:line="240" w:lineRule="auto"/>
        <w:jc w:val="both"/>
        <w:rPr>
          <w:sz w:val="22"/>
          <w:szCs w:val="22"/>
        </w:rPr>
      </w:pPr>
    </w:p>
    <w:p w:rsidR="005F4163" w:rsidRDefault="006A1BE8" w:rsidP="00D215F4">
      <w:pPr>
        <w:pStyle w:val="MoEBodyText"/>
        <w:numPr>
          <w:ilvl w:val="1"/>
          <w:numId w:val="17"/>
        </w:numPr>
        <w:spacing w:after="0" w:line="240" w:lineRule="auto"/>
        <w:ind w:left="567" w:hanging="283"/>
        <w:jc w:val="both"/>
        <w:rPr>
          <w:sz w:val="22"/>
          <w:szCs w:val="22"/>
        </w:rPr>
      </w:pPr>
      <w:r>
        <w:rPr>
          <w:sz w:val="22"/>
          <w:szCs w:val="22"/>
        </w:rPr>
        <w:t xml:space="preserve">Revisiting the size of population centres </w:t>
      </w:r>
      <w:r w:rsidR="003320A3">
        <w:rPr>
          <w:sz w:val="22"/>
          <w:szCs w:val="22"/>
        </w:rPr>
        <w:t>used to assess isolation</w:t>
      </w:r>
      <w:r w:rsidR="005F4163">
        <w:rPr>
          <w:sz w:val="22"/>
          <w:szCs w:val="22"/>
        </w:rPr>
        <w:t xml:space="preserve">, </w:t>
      </w:r>
      <w:r w:rsidR="003320A3">
        <w:rPr>
          <w:sz w:val="22"/>
          <w:szCs w:val="22"/>
        </w:rPr>
        <w:t xml:space="preserve">in light of </w:t>
      </w:r>
      <w:r w:rsidR="001A1429">
        <w:rPr>
          <w:sz w:val="22"/>
          <w:szCs w:val="22"/>
        </w:rPr>
        <w:t>evidence that most services are available in centres with populations of significantly less than 100,000,</w:t>
      </w:r>
      <w:r w:rsidR="003320A3">
        <w:rPr>
          <w:sz w:val="22"/>
          <w:szCs w:val="22"/>
        </w:rPr>
        <w:t xml:space="preserve"> and the critical inter-relationships with other services and schools in terms of student activities and teacher professional activities.</w:t>
      </w:r>
      <w:r w:rsidR="005F4163">
        <w:rPr>
          <w:sz w:val="22"/>
          <w:szCs w:val="22"/>
        </w:rPr>
        <w:t xml:space="preserve"> </w:t>
      </w:r>
      <w:r w:rsidR="00547382">
        <w:rPr>
          <w:sz w:val="22"/>
          <w:szCs w:val="22"/>
        </w:rPr>
        <w:t>A</w:t>
      </w:r>
      <w:r w:rsidR="005F4163">
        <w:rPr>
          <w:sz w:val="22"/>
          <w:szCs w:val="22"/>
        </w:rPr>
        <w:t xml:space="preserve"> shift away from reference to major urban centres to smaller regional centres</w:t>
      </w:r>
      <w:r w:rsidR="00547382">
        <w:rPr>
          <w:sz w:val="22"/>
          <w:szCs w:val="22"/>
        </w:rPr>
        <w:t xml:space="preserve"> is proposed</w:t>
      </w:r>
      <w:r w:rsidR="005F4163">
        <w:rPr>
          <w:sz w:val="22"/>
          <w:szCs w:val="22"/>
        </w:rPr>
        <w:t>.</w:t>
      </w:r>
    </w:p>
    <w:p w:rsidR="00D215F4" w:rsidRDefault="00D215F4" w:rsidP="00D215F4">
      <w:pPr>
        <w:pStyle w:val="MoEBodyText"/>
        <w:spacing w:after="0" w:line="240" w:lineRule="auto"/>
        <w:jc w:val="both"/>
        <w:rPr>
          <w:sz w:val="22"/>
          <w:szCs w:val="22"/>
        </w:rPr>
      </w:pPr>
    </w:p>
    <w:p w:rsidR="005F4163" w:rsidRDefault="001A1429" w:rsidP="00D215F4">
      <w:pPr>
        <w:pStyle w:val="MoEBodyText"/>
        <w:numPr>
          <w:ilvl w:val="1"/>
          <w:numId w:val="17"/>
        </w:numPr>
        <w:spacing w:after="0" w:line="240" w:lineRule="auto"/>
        <w:ind w:left="567" w:hanging="283"/>
        <w:jc w:val="both"/>
        <w:rPr>
          <w:sz w:val="22"/>
          <w:szCs w:val="22"/>
        </w:rPr>
      </w:pPr>
      <w:r>
        <w:rPr>
          <w:sz w:val="22"/>
          <w:szCs w:val="22"/>
        </w:rPr>
        <w:t xml:space="preserve">Creating </w:t>
      </w:r>
      <w:r w:rsidR="005F4163">
        <w:rPr>
          <w:sz w:val="22"/>
          <w:szCs w:val="22"/>
        </w:rPr>
        <w:t xml:space="preserve">a stronger focus on isolation as opposed to rurality, with additional funding only justified where the overall cost structure of the school or service is materially higher than that faced by other schools and services as a result of its location. </w:t>
      </w:r>
      <w:r w:rsidR="00547382">
        <w:rPr>
          <w:sz w:val="22"/>
          <w:szCs w:val="22"/>
        </w:rPr>
        <w:t>The</w:t>
      </w:r>
      <w:r w:rsidR="005F4163">
        <w:rPr>
          <w:sz w:val="22"/>
          <w:szCs w:val="22"/>
        </w:rPr>
        <w:t xml:space="preserve"> expectation is the threshold for eligibility would be higher and fewer schools</w:t>
      </w:r>
      <w:r w:rsidR="00F60319">
        <w:rPr>
          <w:sz w:val="22"/>
          <w:szCs w:val="22"/>
        </w:rPr>
        <w:t xml:space="preserve"> and services</w:t>
      </w:r>
      <w:r w:rsidR="005F4163">
        <w:rPr>
          <w:sz w:val="22"/>
          <w:szCs w:val="22"/>
        </w:rPr>
        <w:t xml:space="preserve"> would receive additional funding as a result of their isolation.</w:t>
      </w:r>
    </w:p>
    <w:p w:rsidR="00D215F4" w:rsidRDefault="00D215F4" w:rsidP="00D215F4">
      <w:pPr>
        <w:pStyle w:val="MoEBodyText"/>
        <w:spacing w:after="0" w:line="240" w:lineRule="auto"/>
        <w:jc w:val="both"/>
        <w:rPr>
          <w:sz w:val="22"/>
          <w:szCs w:val="22"/>
        </w:rPr>
      </w:pPr>
    </w:p>
    <w:p w:rsidR="00F60319" w:rsidRDefault="00F60319" w:rsidP="00D215F4">
      <w:pPr>
        <w:pStyle w:val="MoEBodyText"/>
        <w:numPr>
          <w:ilvl w:val="1"/>
          <w:numId w:val="17"/>
        </w:numPr>
        <w:spacing w:after="0" w:line="240" w:lineRule="auto"/>
        <w:ind w:left="567" w:hanging="283"/>
        <w:jc w:val="both"/>
        <w:rPr>
          <w:sz w:val="22"/>
          <w:szCs w:val="22"/>
        </w:rPr>
      </w:pPr>
      <w:r>
        <w:rPr>
          <w:rFonts w:eastAsia="Times New Roman" w:cs="Arial"/>
          <w:sz w:val="22"/>
          <w:szCs w:val="22"/>
        </w:rPr>
        <w:t xml:space="preserve">In the </w:t>
      </w:r>
      <w:r w:rsidR="00B835AE" w:rsidRPr="00B835AE">
        <w:rPr>
          <w:rFonts w:eastAsia="Times New Roman" w:cs="Arial"/>
          <w:sz w:val="22"/>
          <w:szCs w:val="22"/>
        </w:rPr>
        <w:t>early learning</w:t>
      </w:r>
      <w:r>
        <w:rPr>
          <w:rFonts w:eastAsia="Times New Roman" w:cs="Arial"/>
          <w:sz w:val="22"/>
          <w:szCs w:val="22"/>
        </w:rPr>
        <w:t xml:space="preserve"> sector, </w:t>
      </w:r>
      <w:r w:rsidR="007034DA">
        <w:rPr>
          <w:rFonts w:eastAsia="Times New Roman" w:cs="Arial"/>
          <w:sz w:val="22"/>
          <w:szCs w:val="22"/>
        </w:rPr>
        <w:t>further consideration of</w:t>
      </w:r>
      <w:r>
        <w:rPr>
          <w:rFonts w:eastAsia="Times New Roman" w:cs="Arial"/>
          <w:sz w:val="22"/>
          <w:szCs w:val="22"/>
        </w:rPr>
        <w:t xml:space="preserve"> the purpose of the </w:t>
      </w:r>
      <w:r w:rsidRPr="00F60319">
        <w:rPr>
          <w:rFonts w:eastAsia="Times New Roman" w:cs="Arial"/>
          <w:sz w:val="22"/>
          <w:szCs w:val="22"/>
        </w:rPr>
        <w:t>Annual Top Up for Isolated Services</w:t>
      </w:r>
      <w:r>
        <w:rPr>
          <w:sz w:val="22"/>
          <w:szCs w:val="22"/>
        </w:rPr>
        <w:t xml:space="preserve"> funding. If it is intended to support a focus on participation, then the setting could be sharpened to focus on this element.</w:t>
      </w:r>
    </w:p>
    <w:p w:rsidR="00D215F4" w:rsidRDefault="00D215F4" w:rsidP="00D215F4">
      <w:pPr>
        <w:pStyle w:val="MoEBodyText"/>
        <w:spacing w:after="0" w:line="240" w:lineRule="auto"/>
        <w:jc w:val="both"/>
        <w:rPr>
          <w:sz w:val="22"/>
          <w:szCs w:val="22"/>
        </w:rPr>
      </w:pPr>
    </w:p>
    <w:p w:rsidR="00826044" w:rsidRDefault="004027AF" w:rsidP="00D215F4">
      <w:pPr>
        <w:pStyle w:val="MoENumberedList"/>
        <w:numPr>
          <w:ilvl w:val="0"/>
          <w:numId w:val="0"/>
        </w:numPr>
        <w:spacing w:after="0"/>
        <w:jc w:val="both"/>
        <w:rPr>
          <w:sz w:val="22"/>
        </w:rPr>
      </w:pPr>
      <w:r>
        <w:rPr>
          <w:sz w:val="22"/>
        </w:rPr>
        <w:t>S</w:t>
      </w:r>
      <w:r w:rsidR="00826044">
        <w:rPr>
          <w:sz w:val="22"/>
        </w:rPr>
        <w:t xml:space="preserve">ome of the areas highlighted above are likely to be relevant across settings for both </w:t>
      </w:r>
      <w:r w:rsidR="00B835AE" w:rsidRPr="00B835AE">
        <w:rPr>
          <w:sz w:val="22"/>
        </w:rPr>
        <w:t>early learnin</w:t>
      </w:r>
      <w:r w:rsidR="00B835AE">
        <w:rPr>
          <w:sz w:val="22"/>
        </w:rPr>
        <w:t>g</w:t>
      </w:r>
      <w:r w:rsidR="00826044">
        <w:rPr>
          <w:sz w:val="22"/>
        </w:rPr>
        <w:t xml:space="preserve"> and schooling isolation funding. However, given the </w:t>
      </w:r>
      <w:r w:rsidR="0012027B">
        <w:rPr>
          <w:sz w:val="22"/>
        </w:rPr>
        <w:t xml:space="preserve">differing contexts with </w:t>
      </w:r>
      <w:r w:rsidR="00B835AE" w:rsidRPr="00B835AE">
        <w:rPr>
          <w:sz w:val="22"/>
        </w:rPr>
        <w:t>early learning</w:t>
      </w:r>
      <w:r w:rsidR="0012027B">
        <w:rPr>
          <w:sz w:val="22"/>
        </w:rPr>
        <w:t xml:space="preserve"> </w:t>
      </w:r>
      <w:r w:rsidR="00826044">
        <w:rPr>
          <w:sz w:val="22"/>
        </w:rPr>
        <w:t xml:space="preserve">being </w:t>
      </w:r>
      <w:r>
        <w:rPr>
          <w:sz w:val="22"/>
        </w:rPr>
        <w:t>operated by private entities,</w:t>
      </w:r>
      <w:r w:rsidR="0012027B">
        <w:rPr>
          <w:sz w:val="22"/>
        </w:rPr>
        <w:t xml:space="preserve"> not fully government funded</w:t>
      </w:r>
      <w:r w:rsidR="00826044">
        <w:rPr>
          <w:sz w:val="22"/>
        </w:rPr>
        <w:t xml:space="preserve">, </w:t>
      </w:r>
      <w:r>
        <w:rPr>
          <w:sz w:val="22"/>
        </w:rPr>
        <w:t>and non-compulsory</w:t>
      </w:r>
      <w:r w:rsidR="007034DA">
        <w:rPr>
          <w:sz w:val="22"/>
        </w:rPr>
        <w:t>,</w:t>
      </w:r>
      <w:r>
        <w:rPr>
          <w:sz w:val="22"/>
        </w:rPr>
        <w:t xml:space="preserve"> </w:t>
      </w:r>
      <w:r w:rsidR="00826044">
        <w:rPr>
          <w:sz w:val="22"/>
        </w:rPr>
        <w:t xml:space="preserve">it would be worthwhile considering carefully the implications </w:t>
      </w:r>
      <w:r w:rsidR="00463DE3">
        <w:rPr>
          <w:sz w:val="22"/>
        </w:rPr>
        <w:t xml:space="preserve">of any changes for </w:t>
      </w:r>
      <w:r w:rsidR="00B835AE" w:rsidRPr="00B835AE">
        <w:rPr>
          <w:sz w:val="22"/>
        </w:rPr>
        <w:t>early learning</w:t>
      </w:r>
      <w:r w:rsidR="00463DE3">
        <w:rPr>
          <w:sz w:val="22"/>
        </w:rPr>
        <w:t xml:space="preserve"> services.</w:t>
      </w:r>
    </w:p>
    <w:p w:rsidR="004E1D22" w:rsidRDefault="004E1D22" w:rsidP="00826044">
      <w:pPr>
        <w:pStyle w:val="MoENumberedList"/>
        <w:numPr>
          <w:ilvl w:val="0"/>
          <w:numId w:val="0"/>
        </w:numPr>
        <w:spacing w:after="160"/>
        <w:jc w:val="both"/>
        <w:rPr>
          <w:sz w:val="22"/>
        </w:rPr>
      </w:pPr>
    </w:p>
    <w:p w:rsidR="002A7C4E" w:rsidRDefault="002A7C4E" w:rsidP="002A7C4E">
      <w:pPr>
        <w:pStyle w:val="MoENumberedList"/>
        <w:numPr>
          <w:ilvl w:val="0"/>
          <w:numId w:val="0"/>
        </w:numPr>
        <w:pBdr>
          <w:top w:val="single" w:sz="4" w:space="1" w:color="auto"/>
          <w:left w:val="single" w:sz="4" w:space="4" w:color="auto"/>
          <w:bottom w:val="single" w:sz="4" w:space="1" w:color="auto"/>
          <w:right w:val="single" w:sz="4" w:space="4" w:color="auto"/>
        </w:pBdr>
        <w:rPr>
          <w:rFonts w:cs="Arial"/>
          <w:i/>
          <w:sz w:val="22"/>
        </w:rPr>
      </w:pPr>
    </w:p>
    <w:p w:rsidR="001246CC" w:rsidRDefault="002A7C4E" w:rsidP="002A7C4E">
      <w:pPr>
        <w:pStyle w:val="MoENumberedList"/>
        <w:numPr>
          <w:ilvl w:val="0"/>
          <w:numId w:val="0"/>
        </w:numPr>
        <w:pBdr>
          <w:top w:val="single" w:sz="4" w:space="1" w:color="auto"/>
          <w:left w:val="single" w:sz="4" w:space="4" w:color="auto"/>
          <w:bottom w:val="single" w:sz="4" w:space="1" w:color="auto"/>
          <w:right w:val="single" w:sz="4" w:space="4" w:color="auto"/>
        </w:pBdr>
        <w:rPr>
          <w:rFonts w:cs="Arial"/>
          <w:i/>
          <w:sz w:val="22"/>
        </w:rPr>
      </w:pPr>
      <w:r>
        <w:rPr>
          <w:rFonts w:cs="Arial"/>
          <w:i/>
          <w:sz w:val="22"/>
        </w:rPr>
        <w:t>Questions for discussion</w:t>
      </w:r>
    </w:p>
    <w:p w:rsidR="002A7C4E" w:rsidRDefault="002A7C4E" w:rsidP="002A7C4E">
      <w:pPr>
        <w:pStyle w:val="MoENumberedList"/>
        <w:numPr>
          <w:ilvl w:val="0"/>
          <w:numId w:val="0"/>
        </w:numPr>
        <w:pBdr>
          <w:top w:val="single" w:sz="4" w:space="1" w:color="auto"/>
          <w:left w:val="single" w:sz="4" w:space="4" w:color="auto"/>
          <w:bottom w:val="single" w:sz="4" w:space="1" w:color="auto"/>
          <w:right w:val="single" w:sz="4" w:space="4" w:color="auto"/>
        </w:pBdr>
        <w:rPr>
          <w:rFonts w:cs="Arial"/>
          <w:i/>
          <w:sz w:val="22"/>
        </w:rPr>
      </w:pPr>
    </w:p>
    <w:p w:rsidR="004E1D22" w:rsidRDefault="00681306" w:rsidP="002A7C4E">
      <w:pPr>
        <w:pStyle w:val="MoENumberedList"/>
        <w:numPr>
          <w:ilvl w:val="0"/>
          <w:numId w:val="0"/>
        </w:numPr>
        <w:pBdr>
          <w:top w:val="single" w:sz="4" w:space="1" w:color="auto"/>
          <w:left w:val="single" w:sz="4" w:space="4" w:color="auto"/>
          <w:bottom w:val="single" w:sz="4" w:space="1" w:color="auto"/>
          <w:right w:val="single" w:sz="4" w:space="4" w:color="auto"/>
        </w:pBdr>
        <w:rPr>
          <w:rFonts w:cs="Arial"/>
          <w:i/>
          <w:sz w:val="22"/>
        </w:rPr>
      </w:pPr>
      <w:r>
        <w:rPr>
          <w:rFonts w:cs="Arial"/>
          <w:i/>
          <w:sz w:val="22"/>
        </w:rPr>
        <w:t>Do technological advances (</w:t>
      </w:r>
      <w:r w:rsidR="003E28E1">
        <w:rPr>
          <w:rFonts w:cs="Arial"/>
          <w:i/>
          <w:sz w:val="22"/>
        </w:rPr>
        <w:t>investment in broadband and infrastructure</w:t>
      </w:r>
      <w:r>
        <w:rPr>
          <w:rFonts w:cs="Arial"/>
          <w:i/>
          <w:sz w:val="22"/>
        </w:rPr>
        <w:t xml:space="preserve">, Skype, </w:t>
      </w:r>
      <w:r w:rsidR="008C3836">
        <w:rPr>
          <w:rFonts w:cs="Arial"/>
          <w:i/>
          <w:sz w:val="22"/>
        </w:rPr>
        <w:t xml:space="preserve">use of Cloud for storage, </w:t>
      </w:r>
      <w:r>
        <w:rPr>
          <w:rFonts w:cs="Arial"/>
          <w:i/>
          <w:sz w:val="22"/>
        </w:rPr>
        <w:t xml:space="preserve">etc) </w:t>
      </w:r>
      <w:r w:rsidR="008C3836">
        <w:rPr>
          <w:rFonts w:cs="Arial"/>
          <w:i/>
          <w:sz w:val="22"/>
        </w:rPr>
        <w:t xml:space="preserve">mitigate the distance factor for </w:t>
      </w:r>
      <w:r w:rsidR="00A6652D">
        <w:rPr>
          <w:rFonts w:cs="Arial"/>
          <w:i/>
          <w:sz w:val="22"/>
        </w:rPr>
        <w:t xml:space="preserve">accessing </w:t>
      </w:r>
      <w:r w:rsidR="008C3836">
        <w:rPr>
          <w:rFonts w:cs="Arial"/>
          <w:i/>
          <w:sz w:val="22"/>
        </w:rPr>
        <w:t xml:space="preserve">teaching and learning and </w:t>
      </w:r>
      <w:r w:rsidR="00370F6A">
        <w:rPr>
          <w:rFonts w:cs="Arial"/>
          <w:i/>
          <w:sz w:val="22"/>
        </w:rPr>
        <w:t xml:space="preserve">other </w:t>
      </w:r>
      <w:r w:rsidR="008C3836">
        <w:rPr>
          <w:rFonts w:cs="Arial"/>
          <w:i/>
          <w:sz w:val="22"/>
        </w:rPr>
        <w:t>professional services</w:t>
      </w:r>
      <w:r w:rsidR="004E1D22">
        <w:rPr>
          <w:rFonts w:cs="Arial"/>
          <w:i/>
          <w:sz w:val="22"/>
        </w:rPr>
        <w:t>?</w:t>
      </w:r>
    </w:p>
    <w:p w:rsidR="004E1D22" w:rsidRDefault="004E1D22" w:rsidP="002A7C4E">
      <w:pPr>
        <w:pStyle w:val="MoENumberedList"/>
        <w:numPr>
          <w:ilvl w:val="0"/>
          <w:numId w:val="0"/>
        </w:numPr>
        <w:pBdr>
          <w:top w:val="single" w:sz="4" w:space="1" w:color="auto"/>
          <w:left w:val="single" w:sz="4" w:space="4" w:color="auto"/>
          <w:bottom w:val="single" w:sz="4" w:space="1" w:color="auto"/>
          <w:right w:val="single" w:sz="4" w:space="4" w:color="auto"/>
        </w:pBdr>
        <w:rPr>
          <w:rFonts w:cs="Arial"/>
          <w:i/>
          <w:sz w:val="22"/>
        </w:rPr>
      </w:pPr>
    </w:p>
    <w:p w:rsidR="004E1D22" w:rsidRDefault="00810B59" w:rsidP="002A7C4E">
      <w:pPr>
        <w:pStyle w:val="MoENumberedList"/>
        <w:numPr>
          <w:ilvl w:val="0"/>
          <w:numId w:val="0"/>
        </w:numPr>
        <w:pBdr>
          <w:top w:val="single" w:sz="4" w:space="1" w:color="auto"/>
          <w:left w:val="single" w:sz="4" w:space="4" w:color="auto"/>
          <w:bottom w:val="single" w:sz="4" w:space="1" w:color="auto"/>
          <w:right w:val="single" w:sz="4" w:space="4" w:color="auto"/>
        </w:pBdr>
        <w:rPr>
          <w:rFonts w:cs="Arial"/>
          <w:i/>
          <w:sz w:val="22"/>
        </w:rPr>
      </w:pPr>
      <w:r>
        <w:rPr>
          <w:rFonts w:cs="Arial"/>
          <w:i/>
          <w:sz w:val="22"/>
        </w:rPr>
        <w:t xml:space="preserve">Should a different </w:t>
      </w:r>
      <w:r w:rsidR="00C20EE5">
        <w:rPr>
          <w:rFonts w:cs="Arial"/>
          <w:i/>
          <w:sz w:val="22"/>
        </w:rPr>
        <w:t xml:space="preserve">isolation </w:t>
      </w:r>
      <w:r>
        <w:rPr>
          <w:rFonts w:cs="Arial"/>
          <w:i/>
          <w:sz w:val="22"/>
        </w:rPr>
        <w:t xml:space="preserve">index rating be used to distinguish between </w:t>
      </w:r>
      <w:r w:rsidR="00162AE5">
        <w:rPr>
          <w:rFonts w:cs="Arial"/>
          <w:i/>
          <w:sz w:val="22"/>
        </w:rPr>
        <w:t xml:space="preserve">the </w:t>
      </w:r>
      <w:r>
        <w:rPr>
          <w:rFonts w:cs="Arial"/>
          <w:i/>
          <w:sz w:val="22"/>
        </w:rPr>
        <w:t xml:space="preserve">different types of </w:t>
      </w:r>
      <w:r w:rsidR="00162AE5">
        <w:rPr>
          <w:rFonts w:cs="Arial"/>
          <w:i/>
          <w:sz w:val="22"/>
        </w:rPr>
        <w:t>costs faced by isolated services and schools</w:t>
      </w:r>
      <w:r w:rsidR="008C3836">
        <w:rPr>
          <w:rFonts w:cs="Arial"/>
          <w:i/>
          <w:sz w:val="22"/>
        </w:rPr>
        <w:t>?</w:t>
      </w:r>
      <w:r>
        <w:rPr>
          <w:rFonts w:cs="Arial"/>
          <w:i/>
          <w:sz w:val="22"/>
        </w:rPr>
        <w:t xml:space="preserve"> For example, </w:t>
      </w:r>
      <w:r w:rsidR="00C20EE5">
        <w:rPr>
          <w:rFonts w:cs="Arial"/>
          <w:i/>
          <w:sz w:val="22"/>
        </w:rPr>
        <w:t>between</w:t>
      </w:r>
      <w:r>
        <w:rPr>
          <w:rFonts w:cs="Arial"/>
          <w:i/>
          <w:sz w:val="22"/>
        </w:rPr>
        <w:t xml:space="preserve"> teaching and learning </w:t>
      </w:r>
      <w:r w:rsidR="003F766D">
        <w:rPr>
          <w:rFonts w:cs="Arial"/>
          <w:i/>
          <w:sz w:val="22"/>
        </w:rPr>
        <w:t>cost</w:t>
      </w:r>
      <w:r>
        <w:rPr>
          <w:rFonts w:cs="Arial"/>
          <w:i/>
          <w:sz w:val="22"/>
        </w:rPr>
        <w:t>s</w:t>
      </w:r>
      <w:r w:rsidR="007034DA">
        <w:rPr>
          <w:rFonts w:cs="Arial"/>
          <w:i/>
          <w:sz w:val="22"/>
        </w:rPr>
        <w:t>,</w:t>
      </w:r>
      <w:r w:rsidR="00295C0F">
        <w:rPr>
          <w:rFonts w:cs="Arial"/>
          <w:i/>
          <w:sz w:val="22"/>
        </w:rPr>
        <w:t xml:space="preserve"> and trades and service</w:t>
      </w:r>
      <w:r>
        <w:rPr>
          <w:rFonts w:cs="Arial"/>
          <w:i/>
          <w:sz w:val="22"/>
        </w:rPr>
        <w:t xml:space="preserve"> </w:t>
      </w:r>
      <w:r w:rsidR="003F766D">
        <w:rPr>
          <w:rFonts w:cs="Arial"/>
          <w:i/>
          <w:sz w:val="22"/>
        </w:rPr>
        <w:t>cost</w:t>
      </w:r>
      <w:r>
        <w:rPr>
          <w:rFonts w:cs="Arial"/>
          <w:i/>
          <w:sz w:val="22"/>
        </w:rPr>
        <w:t>s.</w:t>
      </w:r>
    </w:p>
    <w:p w:rsidR="00C20EE5" w:rsidRDefault="00C20EE5" w:rsidP="002A7C4E">
      <w:pPr>
        <w:pStyle w:val="MoENumberedList"/>
        <w:numPr>
          <w:ilvl w:val="0"/>
          <w:numId w:val="0"/>
        </w:numPr>
        <w:pBdr>
          <w:top w:val="single" w:sz="4" w:space="1" w:color="auto"/>
          <w:left w:val="single" w:sz="4" w:space="4" w:color="auto"/>
          <w:bottom w:val="single" w:sz="4" w:space="1" w:color="auto"/>
          <w:right w:val="single" w:sz="4" w:space="4" w:color="auto"/>
        </w:pBdr>
        <w:rPr>
          <w:rFonts w:cs="Arial"/>
          <w:i/>
          <w:sz w:val="22"/>
        </w:rPr>
      </w:pPr>
    </w:p>
    <w:p w:rsidR="00C20EE5" w:rsidRDefault="00C20EE5" w:rsidP="002A7C4E">
      <w:pPr>
        <w:pStyle w:val="MoENumberedList"/>
        <w:numPr>
          <w:ilvl w:val="0"/>
          <w:numId w:val="0"/>
        </w:numPr>
        <w:pBdr>
          <w:top w:val="single" w:sz="4" w:space="1" w:color="auto"/>
          <w:left w:val="single" w:sz="4" w:space="4" w:color="auto"/>
          <w:bottom w:val="single" w:sz="4" w:space="1" w:color="auto"/>
          <w:right w:val="single" w:sz="4" w:space="4" w:color="auto"/>
        </w:pBdr>
        <w:rPr>
          <w:rFonts w:cs="Arial"/>
          <w:i/>
          <w:sz w:val="22"/>
        </w:rPr>
      </w:pPr>
      <w:r>
        <w:rPr>
          <w:rFonts w:cs="Arial"/>
          <w:i/>
          <w:sz w:val="22"/>
        </w:rPr>
        <w:t>Should the distance from similar schools/ services be part of the isolation index?</w:t>
      </w:r>
    </w:p>
    <w:p w:rsidR="00810B59" w:rsidRDefault="00810B59" w:rsidP="002A7C4E">
      <w:pPr>
        <w:pStyle w:val="MoENumberedList"/>
        <w:numPr>
          <w:ilvl w:val="0"/>
          <w:numId w:val="0"/>
        </w:numPr>
        <w:pBdr>
          <w:top w:val="single" w:sz="4" w:space="1" w:color="auto"/>
          <w:left w:val="single" w:sz="4" w:space="4" w:color="auto"/>
          <w:bottom w:val="single" w:sz="4" w:space="1" w:color="auto"/>
          <w:right w:val="single" w:sz="4" w:space="4" w:color="auto"/>
        </w:pBdr>
        <w:rPr>
          <w:rFonts w:cs="Arial"/>
          <w:i/>
          <w:sz w:val="22"/>
        </w:rPr>
      </w:pPr>
    </w:p>
    <w:p w:rsidR="002A7C4E" w:rsidRDefault="004E7B66" w:rsidP="002A7C4E">
      <w:pPr>
        <w:pStyle w:val="MoENumberedList"/>
        <w:numPr>
          <w:ilvl w:val="0"/>
          <w:numId w:val="0"/>
        </w:numPr>
        <w:pBdr>
          <w:top w:val="single" w:sz="4" w:space="1" w:color="auto"/>
          <w:left w:val="single" w:sz="4" w:space="4" w:color="auto"/>
          <w:bottom w:val="single" w:sz="4" w:space="1" w:color="auto"/>
          <w:right w:val="single" w:sz="4" w:space="4" w:color="auto"/>
        </w:pBdr>
        <w:rPr>
          <w:rFonts w:cs="Arial"/>
          <w:i/>
          <w:sz w:val="22"/>
        </w:rPr>
      </w:pPr>
      <w:r>
        <w:rPr>
          <w:rFonts w:cs="Arial"/>
          <w:i/>
          <w:sz w:val="22"/>
        </w:rPr>
        <w:t>Are there specific co</w:t>
      </w:r>
      <w:r w:rsidR="00C20EE5">
        <w:rPr>
          <w:rFonts w:cs="Arial"/>
          <w:i/>
          <w:sz w:val="22"/>
        </w:rPr>
        <w:t>nsiderations</w:t>
      </w:r>
      <w:r>
        <w:rPr>
          <w:rFonts w:cs="Arial"/>
          <w:i/>
          <w:sz w:val="22"/>
        </w:rPr>
        <w:t xml:space="preserve"> for </w:t>
      </w:r>
      <w:r w:rsidR="00B835AE" w:rsidRPr="00B835AE">
        <w:rPr>
          <w:rFonts w:cs="Arial"/>
          <w:i/>
          <w:sz w:val="22"/>
        </w:rPr>
        <w:t>early learning</w:t>
      </w:r>
      <w:r>
        <w:rPr>
          <w:rFonts w:cs="Arial"/>
          <w:i/>
          <w:sz w:val="22"/>
        </w:rPr>
        <w:t xml:space="preserve"> services that are not accounted for?</w:t>
      </w:r>
      <w:bookmarkEnd w:id="5"/>
    </w:p>
    <w:sectPr w:rsidR="002A7C4E" w:rsidSect="00C84B2D">
      <w:headerReference w:type="default" r:id="rId10"/>
      <w:footerReference w:type="default" r:id="rId11"/>
      <w:headerReference w:type="first" r:id="rId12"/>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884" w:rsidRDefault="00587884" w:rsidP="000A3193">
      <w:pPr>
        <w:spacing w:after="0" w:line="240" w:lineRule="auto"/>
      </w:pPr>
      <w:r>
        <w:separator/>
      </w:r>
    </w:p>
  </w:endnote>
  <w:endnote w:type="continuationSeparator" w:id="0">
    <w:p w:rsidR="00587884" w:rsidRDefault="00587884" w:rsidP="000A3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28859281"/>
      <w:docPartObj>
        <w:docPartGallery w:val="Page Numbers (Bottom of Page)"/>
        <w:docPartUnique/>
      </w:docPartObj>
    </w:sdtPr>
    <w:sdtContent>
      <w:p w:rsidR="00110932" w:rsidRPr="00814EBD" w:rsidRDefault="00F97DA5">
        <w:pPr>
          <w:pStyle w:val="Footer"/>
          <w:rPr>
            <w:sz w:val="20"/>
          </w:rPr>
        </w:pPr>
        <w:r>
          <w:rPr>
            <w:sz w:val="20"/>
          </w:rPr>
          <w:t>24</w:t>
        </w:r>
        <w:r w:rsidR="00110932" w:rsidRPr="00814EBD">
          <w:rPr>
            <w:sz w:val="20"/>
          </w:rPr>
          <w:t>/06/</w:t>
        </w:r>
        <w:r w:rsidR="002D4725">
          <w:rPr>
            <w:sz w:val="20"/>
          </w:rPr>
          <w:t>20</w:t>
        </w:r>
        <w:r w:rsidR="00110932" w:rsidRPr="00814EBD">
          <w:rPr>
            <w:sz w:val="20"/>
          </w:rPr>
          <w:t>16</w:t>
        </w:r>
        <w:r w:rsidR="00110932" w:rsidRPr="00814EBD">
          <w:rPr>
            <w:sz w:val="20"/>
          </w:rPr>
          <w:tab/>
        </w:r>
        <w:r w:rsidR="00110932" w:rsidRPr="00814EBD">
          <w:rPr>
            <w:sz w:val="20"/>
          </w:rPr>
          <w:tab/>
        </w:r>
        <w:r w:rsidR="00110932" w:rsidRPr="00814EBD">
          <w:rPr>
            <w:sz w:val="20"/>
          </w:rPr>
          <w:tab/>
        </w:r>
        <w:r w:rsidR="00110932" w:rsidRPr="00814EBD">
          <w:rPr>
            <w:sz w:val="20"/>
          </w:rPr>
          <w:tab/>
        </w:r>
        <w:r w:rsidR="00110932" w:rsidRPr="00814EBD">
          <w:rPr>
            <w:sz w:val="20"/>
          </w:rPr>
          <w:tab/>
        </w:r>
        <w:r w:rsidR="00110932" w:rsidRPr="00814EBD">
          <w:rPr>
            <w:sz w:val="20"/>
          </w:rPr>
          <w:tab/>
        </w:r>
        <w:r w:rsidR="00110932" w:rsidRPr="00814EBD">
          <w:rPr>
            <w:sz w:val="20"/>
          </w:rPr>
          <w:tab/>
        </w:r>
        <w:r w:rsidR="00110932" w:rsidRPr="00814EBD">
          <w:rPr>
            <w:sz w:val="20"/>
          </w:rPr>
          <w:tab/>
        </w:r>
        <w:r w:rsidR="00110932" w:rsidRPr="00814EBD">
          <w:rPr>
            <w:sz w:val="20"/>
          </w:rPr>
          <w:tab/>
        </w:r>
        <w:r w:rsidR="00110932" w:rsidRPr="00814EBD">
          <w:rPr>
            <w:sz w:val="20"/>
          </w:rPr>
          <w:tab/>
        </w:r>
        <w:r w:rsidR="00110932" w:rsidRPr="00814EBD">
          <w:rPr>
            <w:sz w:val="20"/>
          </w:rPr>
          <w:tab/>
        </w:r>
        <w:r w:rsidR="00110932" w:rsidRPr="00814EBD">
          <w:rPr>
            <w:sz w:val="20"/>
          </w:rPr>
          <w:tab/>
        </w:r>
        <w:r w:rsidR="00F6122D" w:rsidRPr="00814EBD">
          <w:rPr>
            <w:sz w:val="20"/>
          </w:rPr>
          <w:fldChar w:fldCharType="begin"/>
        </w:r>
        <w:r w:rsidR="00110932" w:rsidRPr="00814EBD">
          <w:rPr>
            <w:sz w:val="20"/>
          </w:rPr>
          <w:instrText xml:space="preserve"> PAGE   \* MERGEFORMAT </w:instrText>
        </w:r>
        <w:r w:rsidR="00F6122D" w:rsidRPr="00814EBD">
          <w:rPr>
            <w:sz w:val="20"/>
          </w:rPr>
          <w:fldChar w:fldCharType="separate"/>
        </w:r>
        <w:r>
          <w:rPr>
            <w:noProof/>
            <w:sz w:val="20"/>
          </w:rPr>
          <w:t>2</w:t>
        </w:r>
        <w:r w:rsidR="00F6122D" w:rsidRPr="00814EBD">
          <w:rPr>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884" w:rsidRDefault="00587884" w:rsidP="000A3193">
      <w:pPr>
        <w:spacing w:after="0" w:line="240" w:lineRule="auto"/>
      </w:pPr>
      <w:r>
        <w:separator/>
      </w:r>
    </w:p>
  </w:footnote>
  <w:footnote w:type="continuationSeparator" w:id="0">
    <w:p w:rsidR="00587884" w:rsidRDefault="00587884" w:rsidP="000A3193">
      <w:pPr>
        <w:spacing w:after="0" w:line="240" w:lineRule="auto"/>
      </w:pPr>
      <w:r>
        <w:continuationSeparator/>
      </w:r>
    </w:p>
  </w:footnote>
  <w:footnote w:id="1">
    <w:p w:rsidR="00110932" w:rsidRPr="00903BAE" w:rsidRDefault="00110932" w:rsidP="00DC76FF">
      <w:pPr>
        <w:pStyle w:val="FootnoteText"/>
        <w:rPr>
          <w:rFonts w:ascii="Arial" w:hAnsi="Arial" w:cs="Arial"/>
          <w:sz w:val="18"/>
        </w:rPr>
      </w:pPr>
      <w:r w:rsidRPr="00903BAE">
        <w:rPr>
          <w:rStyle w:val="FootnoteReference"/>
          <w:rFonts w:ascii="Arial" w:hAnsi="Arial" w:cs="Arial"/>
          <w:sz w:val="18"/>
        </w:rPr>
        <w:footnoteRef/>
      </w:r>
      <w:r w:rsidRPr="00903BAE">
        <w:rPr>
          <w:rFonts w:ascii="Arial" w:hAnsi="Arial" w:cs="Arial"/>
          <w:sz w:val="18"/>
        </w:rPr>
        <w:t xml:space="preserve"> These </w:t>
      </w:r>
      <w:r>
        <w:rPr>
          <w:rFonts w:ascii="Arial" w:hAnsi="Arial" w:cs="Arial"/>
          <w:sz w:val="18"/>
        </w:rPr>
        <w:t>include the</w:t>
      </w:r>
      <w:r w:rsidRPr="00903BAE">
        <w:rPr>
          <w:rFonts w:ascii="Arial" w:hAnsi="Arial" w:cs="Arial"/>
          <w:sz w:val="18"/>
        </w:rPr>
        <w:t xml:space="preserve"> Isolation Allowance (Primary and Area Teachers’/Principals’ Collective Agreements), Voluntary Bonding Scheme</w:t>
      </w:r>
      <w:r>
        <w:rPr>
          <w:rFonts w:ascii="Arial" w:hAnsi="Arial" w:cs="Arial"/>
          <w:sz w:val="18"/>
        </w:rPr>
        <w:t>.</w:t>
      </w:r>
    </w:p>
  </w:footnote>
  <w:footnote w:id="2">
    <w:p w:rsidR="00110932" w:rsidRPr="00903BAE" w:rsidRDefault="00110932">
      <w:pPr>
        <w:pStyle w:val="FootnoteText"/>
        <w:rPr>
          <w:rFonts w:ascii="Arial" w:hAnsi="Arial" w:cs="Arial"/>
          <w:sz w:val="18"/>
        </w:rPr>
      </w:pPr>
      <w:r w:rsidRPr="00903BAE">
        <w:rPr>
          <w:rStyle w:val="FootnoteReference"/>
          <w:rFonts w:ascii="Arial" w:hAnsi="Arial" w:cs="Arial"/>
          <w:sz w:val="18"/>
        </w:rPr>
        <w:footnoteRef/>
      </w:r>
      <w:r w:rsidRPr="00903BAE">
        <w:rPr>
          <w:rFonts w:ascii="Arial" w:hAnsi="Arial" w:cs="Arial"/>
          <w:sz w:val="18"/>
        </w:rPr>
        <w:t xml:space="preserve"> Where total funding is expenditure on operational grants and teacher salaries.</w:t>
      </w:r>
    </w:p>
  </w:footnote>
  <w:footnote w:id="3">
    <w:p w:rsidR="00110932" w:rsidRPr="00E32009" w:rsidRDefault="00110932" w:rsidP="00E94D9E">
      <w:pPr>
        <w:pStyle w:val="FootnoteText"/>
        <w:jc w:val="both"/>
        <w:rPr>
          <w:rFonts w:ascii="Arial" w:hAnsi="Arial" w:cs="Arial"/>
          <w:sz w:val="18"/>
          <w:szCs w:val="18"/>
        </w:rPr>
      </w:pPr>
      <w:r w:rsidRPr="00E32009">
        <w:rPr>
          <w:rStyle w:val="FootnoteReference"/>
          <w:rFonts w:ascii="Arial" w:hAnsi="Arial" w:cs="Arial"/>
          <w:sz w:val="18"/>
          <w:szCs w:val="18"/>
        </w:rPr>
        <w:footnoteRef/>
      </w:r>
      <w:r w:rsidRPr="00E32009">
        <w:rPr>
          <w:rFonts w:ascii="Arial" w:hAnsi="Arial" w:cs="Arial"/>
          <w:sz w:val="18"/>
          <w:szCs w:val="18"/>
        </w:rPr>
        <w:t xml:space="preserve"> </w:t>
      </w:r>
      <w:r>
        <w:rPr>
          <w:rFonts w:ascii="Arial" w:hAnsi="Arial" w:cs="Arial"/>
          <w:sz w:val="18"/>
          <w:szCs w:val="18"/>
        </w:rPr>
        <w:t>Relief teacher travel is funded from the operational grant, consistent with provisions set out in collective agreements (for example, STCA 7.7). Schools cannot offer a teacher more than the entitlements in the collective agreements without the concurrence of the Secretary for Education.</w:t>
      </w:r>
    </w:p>
  </w:footnote>
  <w:footnote w:id="4">
    <w:p w:rsidR="00110932" w:rsidRPr="00B21655" w:rsidRDefault="00110932" w:rsidP="00E94D9E">
      <w:pPr>
        <w:pStyle w:val="FootnoteText"/>
        <w:rPr>
          <w:rFonts w:ascii="Arial" w:hAnsi="Arial" w:cs="Arial"/>
          <w:sz w:val="18"/>
          <w:szCs w:val="18"/>
        </w:rPr>
      </w:pPr>
      <w:r w:rsidRPr="00B21655">
        <w:rPr>
          <w:rStyle w:val="FootnoteReference"/>
          <w:rFonts w:ascii="Arial" w:hAnsi="Arial" w:cs="Arial"/>
          <w:sz w:val="18"/>
          <w:szCs w:val="18"/>
        </w:rPr>
        <w:footnoteRef/>
      </w:r>
      <w:r w:rsidRPr="00B21655">
        <w:rPr>
          <w:rFonts w:ascii="Arial" w:hAnsi="Arial" w:cs="Arial"/>
          <w:sz w:val="18"/>
          <w:szCs w:val="18"/>
        </w:rPr>
        <w:t xml:space="preserve"> </w:t>
      </w:r>
      <w:r>
        <w:rPr>
          <w:rFonts w:ascii="Arial" w:hAnsi="Arial" w:cs="Arial"/>
          <w:sz w:val="18"/>
          <w:szCs w:val="18"/>
        </w:rPr>
        <w:t xml:space="preserve">Ministry of Education, </w:t>
      </w:r>
      <w:r w:rsidRPr="00B21655">
        <w:rPr>
          <w:rFonts w:ascii="Arial" w:hAnsi="Arial" w:cs="Arial"/>
          <w:i/>
          <w:sz w:val="18"/>
          <w:szCs w:val="18"/>
        </w:rPr>
        <w:t>An Evaluation of the Initial Uses and Impact of Equity Funding</w:t>
      </w:r>
      <w:r>
        <w:rPr>
          <w:rFonts w:ascii="Arial" w:hAnsi="Arial" w:cs="Arial"/>
          <w:sz w:val="18"/>
          <w:szCs w:val="18"/>
        </w:rPr>
        <w:t>, 2006.</w:t>
      </w:r>
    </w:p>
  </w:footnote>
  <w:footnote w:id="5">
    <w:p w:rsidR="00110932" w:rsidRPr="00A136E9" w:rsidRDefault="00110932" w:rsidP="000A3193">
      <w:pPr>
        <w:pStyle w:val="FootnoteText"/>
        <w:jc w:val="both"/>
        <w:rPr>
          <w:rFonts w:ascii="Arial" w:hAnsi="Arial" w:cs="Arial"/>
          <w:sz w:val="18"/>
          <w:szCs w:val="18"/>
        </w:rPr>
      </w:pPr>
      <w:r w:rsidRPr="00A136E9">
        <w:rPr>
          <w:rStyle w:val="FootnoteReference"/>
          <w:rFonts w:ascii="Arial" w:hAnsi="Arial" w:cs="Arial"/>
          <w:sz w:val="18"/>
          <w:szCs w:val="18"/>
        </w:rPr>
        <w:footnoteRef/>
      </w:r>
      <w:r w:rsidRPr="00A136E9">
        <w:rPr>
          <w:rFonts w:ascii="Arial" w:hAnsi="Arial" w:cs="Arial"/>
          <w:sz w:val="18"/>
          <w:szCs w:val="18"/>
        </w:rPr>
        <w:t xml:space="preserve"> Population density in NZ is 17.2 people per square kilometre.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32" w:rsidRPr="0066491B" w:rsidRDefault="0066491B" w:rsidP="0066491B">
    <w:pPr>
      <w:pStyle w:val="Header"/>
      <w:rPr>
        <w:rFonts w:ascii="Tahoma" w:hAnsi="Tahoma" w:cs="Tahoma"/>
      </w:rPr>
    </w:pPr>
    <w:r w:rsidRPr="0066491B">
      <w:rPr>
        <w:rFonts w:ascii="Tahoma" w:hAnsi="Tahoma" w:cs="Tahoma"/>
        <w:b/>
        <w:sz w:val="18"/>
        <w:szCs w:val="18"/>
        <w:lang w:val="en-AU"/>
      </w:rPr>
      <w:t>FOR ADVISORY GROUP</w:t>
    </w:r>
    <w:r w:rsidR="00F97DA5">
      <w:rPr>
        <w:rFonts w:ascii="Tahoma" w:hAnsi="Tahoma" w:cs="Tahoma"/>
        <w:b/>
        <w:sz w:val="18"/>
        <w:szCs w:val="18"/>
        <w:lang w:val="en-AU"/>
      </w:rPr>
      <w:t xml:space="preserve"> USE ONLY</w:t>
    </w:r>
    <w:r w:rsidRPr="0066491B">
      <w:rPr>
        <w:rFonts w:ascii="Tahoma" w:hAnsi="Tahoma" w:cs="Tahoma"/>
        <w:b/>
        <w:sz w:val="18"/>
        <w:szCs w:val="18"/>
        <w:lang w:val="en-AU"/>
      </w:rPr>
      <w:t xml:space="preserve">                                                                </w:t>
    </w:r>
    <w:r w:rsidR="00110932" w:rsidRPr="0066491B">
      <w:rPr>
        <w:rFonts w:ascii="Tahoma" w:hAnsi="Tahoma" w:cs="Tahoma"/>
        <w:b/>
        <w:sz w:val="18"/>
        <w:szCs w:val="18"/>
      </w:rPr>
      <w:t>DRAFT – NOT GOVERNMENT POLICY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91B" w:rsidRDefault="0066491B">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2">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
    <w:nsid w:val="0CE60993"/>
    <w:multiLevelType w:val="hybridMultilevel"/>
    <w:tmpl w:val="E72064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9B01B3D"/>
    <w:multiLevelType w:val="hybridMultilevel"/>
    <w:tmpl w:val="E02EC0C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A8C6B2E"/>
    <w:multiLevelType w:val="hybridMultilevel"/>
    <w:tmpl w:val="68AA9E66"/>
    <w:lvl w:ilvl="0" w:tplc="4DCE2FB4">
      <w:start w:val="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DB47E49"/>
    <w:multiLevelType w:val="hybridMultilevel"/>
    <w:tmpl w:val="61B4AB36"/>
    <w:lvl w:ilvl="0" w:tplc="D0666204">
      <w:start w:val="1"/>
      <w:numFmt w:val="decimal"/>
      <w:pStyle w:val="ListNumb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49D06429"/>
    <w:multiLevelType w:val="hybridMultilevel"/>
    <w:tmpl w:val="2F16E4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50242DE1"/>
    <w:multiLevelType w:val="hybridMultilevel"/>
    <w:tmpl w:val="DA34AAA6"/>
    <w:lvl w:ilvl="0" w:tplc="160644A4">
      <w:start w:val="1"/>
      <w:numFmt w:val="decimal"/>
      <w:lvlText w:val="%1."/>
      <w:lvlJc w:val="left"/>
      <w:pPr>
        <w:ind w:left="360" w:hanging="360"/>
      </w:pPr>
      <w:rPr>
        <w:rFonts w:ascii="Arial" w:hAnsi="Arial" w:hint="default"/>
        <w:b w:val="0"/>
        <w:color w:val="auto"/>
        <w:sz w:val="22"/>
        <w:szCs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59E278C9"/>
    <w:multiLevelType w:val="hybridMultilevel"/>
    <w:tmpl w:val="9418F496"/>
    <w:lvl w:ilvl="0" w:tplc="F5CC1FE8">
      <w:start w:val="1"/>
      <w:numFmt w:val="decimal"/>
      <w:lvlText w:val="%1."/>
      <w:lvlJc w:val="left"/>
      <w:pPr>
        <w:ind w:left="360" w:hanging="360"/>
      </w:pPr>
      <w:rPr>
        <w:rFonts w:hint="default"/>
        <w:b w:val="0"/>
        <w:color w:val="auto"/>
        <w:sz w:val="22"/>
        <w:szCs w:val="22"/>
      </w:rPr>
    </w:lvl>
    <w:lvl w:ilvl="1" w:tplc="C106BB2C">
      <w:start w:val="1"/>
      <w:numFmt w:val="bullet"/>
      <w:lvlText w:val=""/>
      <w:lvlJc w:val="left"/>
      <w:pPr>
        <w:ind w:left="1080" w:hanging="360"/>
      </w:pPr>
      <w:rPr>
        <w:rFonts w:ascii="Symbol" w:hAnsi="Symbol" w:hint="default"/>
        <w:color w:val="auto"/>
        <w:sz w:val="22"/>
        <w:szCs w:val="22"/>
      </w:rPr>
    </w:lvl>
    <w:lvl w:ilvl="2" w:tplc="9C1A3F5E">
      <w:start w:val="23"/>
      <w:numFmt w:val="bullet"/>
      <w:lvlText w:val="-"/>
      <w:lvlJc w:val="left"/>
      <w:pPr>
        <w:ind w:left="1800" w:hanging="180"/>
      </w:pPr>
      <w:rPr>
        <w:rFonts w:ascii="Arial" w:eastAsiaTheme="minorHAnsi"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5B2E470A"/>
    <w:multiLevelType w:val="hybridMultilevel"/>
    <w:tmpl w:val="9418F496"/>
    <w:lvl w:ilvl="0" w:tplc="F5CC1FE8">
      <w:start w:val="1"/>
      <w:numFmt w:val="decimal"/>
      <w:lvlText w:val="%1."/>
      <w:lvlJc w:val="left"/>
      <w:pPr>
        <w:ind w:left="360" w:hanging="360"/>
      </w:pPr>
      <w:rPr>
        <w:rFonts w:hint="default"/>
        <w:b w:val="0"/>
        <w:color w:val="auto"/>
        <w:sz w:val="22"/>
        <w:szCs w:val="22"/>
      </w:rPr>
    </w:lvl>
    <w:lvl w:ilvl="1" w:tplc="C106BB2C">
      <w:start w:val="1"/>
      <w:numFmt w:val="bullet"/>
      <w:lvlText w:val=""/>
      <w:lvlJc w:val="left"/>
      <w:pPr>
        <w:ind w:left="1080" w:hanging="360"/>
      </w:pPr>
      <w:rPr>
        <w:rFonts w:ascii="Symbol" w:hAnsi="Symbol" w:hint="default"/>
        <w:color w:val="auto"/>
        <w:sz w:val="22"/>
        <w:szCs w:val="22"/>
      </w:rPr>
    </w:lvl>
    <w:lvl w:ilvl="2" w:tplc="9C1A3F5E">
      <w:start w:val="23"/>
      <w:numFmt w:val="bullet"/>
      <w:lvlText w:val="-"/>
      <w:lvlJc w:val="left"/>
      <w:pPr>
        <w:ind w:left="1800" w:hanging="180"/>
      </w:pPr>
      <w:rPr>
        <w:rFonts w:ascii="Arial" w:eastAsiaTheme="minorHAnsi"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14">
    <w:nsid w:val="60D64AA7"/>
    <w:multiLevelType w:val="hybridMultilevel"/>
    <w:tmpl w:val="7FDC84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66A93F70"/>
    <w:multiLevelType w:val="hybridMultilevel"/>
    <w:tmpl w:val="9DE0059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536"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76D17379"/>
    <w:multiLevelType w:val="hybridMultilevel"/>
    <w:tmpl w:val="8E549CE0"/>
    <w:lvl w:ilvl="0" w:tplc="C980A766">
      <w:start w:val="1"/>
      <w:numFmt w:val="bullet"/>
      <w:lvlText w:val=""/>
      <w:lvlJc w:val="left"/>
      <w:pPr>
        <w:ind w:left="360" w:hanging="360"/>
      </w:pPr>
      <w:rPr>
        <w:rFonts w:ascii="Symbol" w:hAnsi="Symbol" w:hint="default"/>
        <w:b w:val="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7"/>
  </w:num>
  <w:num w:numId="4">
    <w:abstractNumId w:val="2"/>
  </w:num>
  <w:num w:numId="5">
    <w:abstractNumId w:val="16"/>
  </w:num>
  <w:num w:numId="6">
    <w:abstractNumId w:val="8"/>
  </w:num>
  <w:num w:numId="7">
    <w:abstractNumId w:val="6"/>
  </w:num>
  <w:num w:numId="8">
    <w:abstractNumId w:val="12"/>
  </w:num>
  <w:num w:numId="9">
    <w:abstractNumId w:val="10"/>
  </w:num>
  <w:num w:numId="10">
    <w:abstractNumId w:val="5"/>
  </w:num>
  <w:num w:numId="11">
    <w:abstractNumId w:val="15"/>
  </w:num>
  <w:num w:numId="12">
    <w:abstractNumId w:val="0"/>
  </w:num>
  <w:num w:numId="13">
    <w:abstractNumId w:val="3"/>
  </w:num>
  <w:num w:numId="14">
    <w:abstractNumId w:val="17"/>
  </w:num>
  <w:num w:numId="15">
    <w:abstractNumId w:val="14"/>
  </w:num>
  <w:num w:numId="16">
    <w:abstractNumId w:val="9"/>
  </w:num>
  <w:num w:numId="17">
    <w:abstractNumId w:val="11"/>
  </w:num>
  <w:num w:numId="18">
    <w:abstractNumId w:val="6"/>
  </w:num>
  <w:num w:numId="19">
    <w:abstractNumId w:val="4"/>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29697"/>
  </w:hdrShapeDefaults>
  <w:footnotePr>
    <w:footnote w:id="-1"/>
    <w:footnote w:id="0"/>
  </w:footnotePr>
  <w:endnotePr>
    <w:endnote w:id="-1"/>
    <w:endnote w:id="0"/>
  </w:endnotePr>
  <w:compat/>
  <w:rsids>
    <w:rsidRoot w:val="000A3193"/>
    <w:rsid w:val="0000307B"/>
    <w:rsid w:val="00003CBF"/>
    <w:rsid w:val="00005464"/>
    <w:rsid w:val="0001062E"/>
    <w:rsid w:val="00015922"/>
    <w:rsid w:val="00025A03"/>
    <w:rsid w:val="00027FC5"/>
    <w:rsid w:val="00094499"/>
    <w:rsid w:val="000A3193"/>
    <w:rsid w:val="000D114F"/>
    <w:rsid w:val="000D72FB"/>
    <w:rsid w:val="000E0368"/>
    <w:rsid w:val="000E361B"/>
    <w:rsid w:val="000F1390"/>
    <w:rsid w:val="00100CC1"/>
    <w:rsid w:val="00103504"/>
    <w:rsid w:val="00110932"/>
    <w:rsid w:val="0012027B"/>
    <w:rsid w:val="001246CC"/>
    <w:rsid w:val="0012760A"/>
    <w:rsid w:val="00131D9D"/>
    <w:rsid w:val="00132D5C"/>
    <w:rsid w:val="00133F2B"/>
    <w:rsid w:val="0016202D"/>
    <w:rsid w:val="00162AE5"/>
    <w:rsid w:val="00176A57"/>
    <w:rsid w:val="001A1429"/>
    <w:rsid w:val="001A27AA"/>
    <w:rsid w:val="001D1B4A"/>
    <w:rsid w:val="001D5058"/>
    <w:rsid w:val="001D6DA6"/>
    <w:rsid w:val="001E3991"/>
    <w:rsid w:val="001F5AA5"/>
    <w:rsid w:val="00200C73"/>
    <w:rsid w:val="00221BF8"/>
    <w:rsid w:val="002377CA"/>
    <w:rsid w:val="002510EA"/>
    <w:rsid w:val="002608FB"/>
    <w:rsid w:val="00280FDB"/>
    <w:rsid w:val="00295C0F"/>
    <w:rsid w:val="002A7C4E"/>
    <w:rsid w:val="002D06B4"/>
    <w:rsid w:val="002D4725"/>
    <w:rsid w:val="00307F80"/>
    <w:rsid w:val="003116FE"/>
    <w:rsid w:val="003320A3"/>
    <w:rsid w:val="00336C0B"/>
    <w:rsid w:val="00347630"/>
    <w:rsid w:val="003605BC"/>
    <w:rsid w:val="00370F6A"/>
    <w:rsid w:val="003710B8"/>
    <w:rsid w:val="00385A1A"/>
    <w:rsid w:val="00397CAF"/>
    <w:rsid w:val="003A16EE"/>
    <w:rsid w:val="003A3CDC"/>
    <w:rsid w:val="003A6380"/>
    <w:rsid w:val="003A64FE"/>
    <w:rsid w:val="003A6F13"/>
    <w:rsid w:val="003A6F88"/>
    <w:rsid w:val="003E28E1"/>
    <w:rsid w:val="003F516B"/>
    <w:rsid w:val="003F766D"/>
    <w:rsid w:val="004027AF"/>
    <w:rsid w:val="00424361"/>
    <w:rsid w:val="004270C7"/>
    <w:rsid w:val="00434257"/>
    <w:rsid w:val="00435DAE"/>
    <w:rsid w:val="0045185E"/>
    <w:rsid w:val="00452CC4"/>
    <w:rsid w:val="004574C7"/>
    <w:rsid w:val="00463DE3"/>
    <w:rsid w:val="0046634C"/>
    <w:rsid w:val="004678DB"/>
    <w:rsid w:val="004C5E25"/>
    <w:rsid w:val="004D0EF9"/>
    <w:rsid w:val="004E1942"/>
    <w:rsid w:val="004E1D22"/>
    <w:rsid w:val="004E7B66"/>
    <w:rsid w:val="004F7FCC"/>
    <w:rsid w:val="00544DD5"/>
    <w:rsid w:val="00546A65"/>
    <w:rsid w:val="005470F9"/>
    <w:rsid w:val="00547382"/>
    <w:rsid w:val="005474EA"/>
    <w:rsid w:val="0055691E"/>
    <w:rsid w:val="00563E0E"/>
    <w:rsid w:val="00582805"/>
    <w:rsid w:val="00587884"/>
    <w:rsid w:val="00587EB4"/>
    <w:rsid w:val="005A699E"/>
    <w:rsid w:val="005B51D5"/>
    <w:rsid w:val="005C0763"/>
    <w:rsid w:val="005C4A10"/>
    <w:rsid w:val="005D0E60"/>
    <w:rsid w:val="005F4163"/>
    <w:rsid w:val="00634205"/>
    <w:rsid w:val="0063740D"/>
    <w:rsid w:val="0064190E"/>
    <w:rsid w:val="00663016"/>
    <w:rsid w:val="00663167"/>
    <w:rsid w:val="0066491B"/>
    <w:rsid w:val="00666BA9"/>
    <w:rsid w:val="00674513"/>
    <w:rsid w:val="006804EC"/>
    <w:rsid w:val="00681306"/>
    <w:rsid w:val="006A1BE8"/>
    <w:rsid w:val="006A7BC1"/>
    <w:rsid w:val="006B2FD3"/>
    <w:rsid w:val="006D5396"/>
    <w:rsid w:val="006F4FA1"/>
    <w:rsid w:val="007002D9"/>
    <w:rsid w:val="007034DA"/>
    <w:rsid w:val="00704602"/>
    <w:rsid w:val="007178AA"/>
    <w:rsid w:val="00724E3D"/>
    <w:rsid w:val="00726978"/>
    <w:rsid w:val="00747002"/>
    <w:rsid w:val="007642E4"/>
    <w:rsid w:val="007848A7"/>
    <w:rsid w:val="0079637B"/>
    <w:rsid w:val="007A687B"/>
    <w:rsid w:val="007F1371"/>
    <w:rsid w:val="0080005F"/>
    <w:rsid w:val="00810B59"/>
    <w:rsid w:val="00811AC4"/>
    <w:rsid w:val="00814EBD"/>
    <w:rsid w:val="00826044"/>
    <w:rsid w:val="0084762A"/>
    <w:rsid w:val="008534D7"/>
    <w:rsid w:val="00867415"/>
    <w:rsid w:val="008759B7"/>
    <w:rsid w:val="008759C3"/>
    <w:rsid w:val="00882143"/>
    <w:rsid w:val="0088756C"/>
    <w:rsid w:val="008C0B3E"/>
    <w:rsid w:val="008C3836"/>
    <w:rsid w:val="008D3ACA"/>
    <w:rsid w:val="008D3DA1"/>
    <w:rsid w:val="008D6710"/>
    <w:rsid w:val="008D6ACA"/>
    <w:rsid w:val="008E6D10"/>
    <w:rsid w:val="008E7C52"/>
    <w:rsid w:val="008F3660"/>
    <w:rsid w:val="00901D3A"/>
    <w:rsid w:val="00903BAE"/>
    <w:rsid w:val="00930A85"/>
    <w:rsid w:val="00934570"/>
    <w:rsid w:val="009635F3"/>
    <w:rsid w:val="0097567E"/>
    <w:rsid w:val="009A37CE"/>
    <w:rsid w:val="009B4180"/>
    <w:rsid w:val="009B6A28"/>
    <w:rsid w:val="009D38AF"/>
    <w:rsid w:val="009F395E"/>
    <w:rsid w:val="00A47EAE"/>
    <w:rsid w:val="00A6509F"/>
    <w:rsid w:val="00A6652D"/>
    <w:rsid w:val="00A70CDE"/>
    <w:rsid w:val="00A952B8"/>
    <w:rsid w:val="00A97FDE"/>
    <w:rsid w:val="00AA7BA9"/>
    <w:rsid w:val="00AC2EDD"/>
    <w:rsid w:val="00AC740D"/>
    <w:rsid w:val="00AF3399"/>
    <w:rsid w:val="00AF575C"/>
    <w:rsid w:val="00B07CCA"/>
    <w:rsid w:val="00B2052C"/>
    <w:rsid w:val="00B4258C"/>
    <w:rsid w:val="00B835AE"/>
    <w:rsid w:val="00B83A0D"/>
    <w:rsid w:val="00B85EC4"/>
    <w:rsid w:val="00B90C11"/>
    <w:rsid w:val="00BB604E"/>
    <w:rsid w:val="00BC725E"/>
    <w:rsid w:val="00BD4713"/>
    <w:rsid w:val="00BE685D"/>
    <w:rsid w:val="00BF3246"/>
    <w:rsid w:val="00BF394D"/>
    <w:rsid w:val="00C20EE5"/>
    <w:rsid w:val="00C52CD5"/>
    <w:rsid w:val="00C64A98"/>
    <w:rsid w:val="00C678D2"/>
    <w:rsid w:val="00C84B2D"/>
    <w:rsid w:val="00C94F2A"/>
    <w:rsid w:val="00CB0F34"/>
    <w:rsid w:val="00CC7E19"/>
    <w:rsid w:val="00CF1B1C"/>
    <w:rsid w:val="00D0422E"/>
    <w:rsid w:val="00D215F4"/>
    <w:rsid w:val="00D312BF"/>
    <w:rsid w:val="00D37096"/>
    <w:rsid w:val="00D4354E"/>
    <w:rsid w:val="00D453D2"/>
    <w:rsid w:val="00D82494"/>
    <w:rsid w:val="00DA47DB"/>
    <w:rsid w:val="00DC76FF"/>
    <w:rsid w:val="00E11F20"/>
    <w:rsid w:val="00E2509E"/>
    <w:rsid w:val="00E40225"/>
    <w:rsid w:val="00E44171"/>
    <w:rsid w:val="00E94D9E"/>
    <w:rsid w:val="00E958BA"/>
    <w:rsid w:val="00EA65D3"/>
    <w:rsid w:val="00EA661E"/>
    <w:rsid w:val="00EB5AD0"/>
    <w:rsid w:val="00ED4701"/>
    <w:rsid w:val="00F02FAF"/>
    <w:rsid w:val="00F05F17"/>
    <w:rsid w:val="00F07432"/>
    <w:rsid w:val="00F10900"/>
    <w:rsid w:val="00F22087"/>
    <w:rsid w:val="00F323A3"/>
    <w:rsid w:val="00F408C0"/>
    <w:rsid w:val="00F60319"/>
    <w:rsid w:val="00F6122D"/>
    <w:rsid w:val="00F9073A"/>
    <w:rsid w:val="00F97DA5"/>
    <w:rsid w:val="00FB5AF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193"/>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BodyText"/>
    <w:qFormat/>
    <w:rsid w:val="004270C7"/>
    <w:pPr>
      <w:keepNext/>
      <w:spacing w:before="60" w:line="280" w:lineRule="exact"/>
      <w:outlineLvl w:val="0"/>
    </w:pPr>
    <w:rPr>
      <w:rFonts w:ascii="Arial" w:hAnsi="Arial"/>
      <w:b/>
      <w:sz w:val="26"/>
      <w:szCs w:val="20"/>
    </w:rPr>
  </w:style>
  <w:style w:type="paragraph" w:styleId="Heading2">
    <w:name w:val="heading 2"/>
    <w:basedOn w:val="Normal"/>
    <w:next w:val="BodyText"/>
    <w:qFormat/>
    <w:rsid w:val="004270C7"/>
    <w:pPr>
      <w:keepNext/>
      <w:spacing w:before="60" w:line="280" w:lineRule="atLeast"/>
      <w:outlineLvl w:val="1"/>
    </w:pPr>
    <w:rPr>
      <w:rFonts w:ascii="Arial" w:hAnsi="Arial"/>
      <w:b/>
      <w:szCs w:val="20"/>
    </w:rPr>
  </w:style>
  <w:style w:type="paragraph" w:styleId="Heading3">
    <w:name w:val="heading 3"/>
    <w:basedOn w:val="Normal"/>
    <w:next w:val="Normal"/>
    <w:qFormat/>
    <w:rsid w:val="004270C7"/>
    <w:pPr>
      <w:keepNext/>
      <w:spacing w:before="60" w:line="280" w:lineRule="exact"/>
      <w:outlineLvl w:val="2"/>
    </w:pPr>
    <w:rPr>
      <w:rFonts w:ascii="Arial" w:hAnsi="Arial"/>
      <w:b/>
      <w:i/>
      <w:szCs w:val="20"/>
    </w:rPr>
  </w:style>
  <w:style w:type="paragraph" w:styleId="Heading4">
    <w:name w:val="heading 4"/>
    <w:basedOn w:val="Normal"/>
    <w:next w:val="Normal"/>
    <w:qFormat/>
    <w:rsid w:val="004270C7"/>
    <w:pPr>
      <w:keepNext/>
      <w:spacing w:before="60" w:line="280" w:lineRule="exac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270C7"/>
    <w:pPr>
      <w:spacing w:before="60" w:after="220" w:line="280" w:lineRule="exact"/>
    </w:pPr>
    <w:rPr>
      <w:rFonts w:ascii="Arial" w:hAnsi="Arial"/>
      <w:szCs w:val="20"/>
    </w:rPr>
  </w:style>
  <w:style w:type="paragraph" w:styleId="PlainText">
    <w:name w:val="Plain Text"/>
    <w:basedOn w:val="Normal"/>
    <w:rsid w:val="004270C7"/>
    <w:pPr>
      <w:tabs>
        <w:tab w:val="left" w:pos="425"/>
      </w:tabs>
      <w:spacing w:after="240" w:line="320" w:lineRule="exact"/>
    </w:pPr>
    <w:rPr>
      <w:szCs w:val="20"/>
    </w:rPr>
  </w:style>
  <w:style w:type="paragraph" w:customStyle="1" w:styleId="Bullet">
    <w:name w:val="Bullet"/>
    <w:basedOn w:val="PlainText"/>
    <w:rsid w:val="004270C7"/>
    <w:pPr>
      <w:numPr>
        <w:numId w:val="1"/>
      </w:numPr>
      <w:tabs>
        <w:tab w:val="clear" w:pos="360"/>
      </w:tabs>
      <w:spacing w:after="0"/>
      <w:ind w:left="425" w:hanging="425"/>
    </w:pPr>
  </w:style>
  <w:style w:type="paragraph" w:customStyle="1" w:styleId="Bulletspace">
    <w:name w:val="Bullet+space"/>
    <w:basedOn w:val="Bullet"/>
    <w:rsid w:val="004270C7"/>
    <w:pPr>
      <w:numPr>
        <w:numId w:val="0"/>
      </w:numPr>
      <w:spacing w:after="240"/>
      <w:ind w:left="425" w:hanging="425"/>
    </w:pPr>
  </w:style>
  <w:style w:type="character" w:styleId="CommentReference">
    <w:name w:val="annotation reference"/>
    <w:basedOn w:val="DefaultParagraphFont"/>
    <w:semiHidden/>
    <w:rsid w:val="004270C7"/>
    <w:rPr>
      <w:sz w:val="16"/>
      <w:szCs w:val="16"/>
    </w:rPr>
  </w:style>
  <w:style w:type="character" w:styleId="FollowedHyperlink">
    <w:name w:val="FollowedHyperlink"/>
    <w:basedOn w:val="DefaultParagraphFont"/>
    <w:rsid w:val="004270C7"/>
    <w:rPr>
      <w:color w:val="800080"/>
      <w:u w:val="single"/>
    </w:rPr>
  </w:style>
  <w:style w:type="paragraph" w:styleId="Footer">
    <w:name w:val="footer"/>
    <w:basedOn w:val="Normal"/>
    <w:next w:val="Normal"/>
    <w:link w:val="FooterChar"/>
    <w:uiPriority w:val="99"/>
    <w:rsid w:val="004270C7"/>
    <w:pPr>
      <w:spacing w:line="200" w:lineRule="exact"/>
    </w:pPr>
    <w:rPr>
      <w:rFonts w:ascii="Arial" w:hAnsi="Arial"/>
      <w:sz w:val="15"/>
      <w:szCs w:val="20"/>
    </w:rPr>
  </w:style>
  <w:style w:type="paragraph" w:styleId="Header">
    <w:name w:val="header"/>
    <w:basedOn w:val="Normal"/>
    <w:link w:val="HeaderChar"/>
    <w:rsid w:val="004270C7"/>
    <w:pPr>
      <w:tabs>
        <w:tab w:val="center" w:pos="4536"/>
        <w:tab w:val="right" w:pos="9072"/>
      </w:tabs>
      <w:spacing w:line="240" w:lineRule="exact"/>
    </w:pPr>
    <w:rPr>
      <w:sz w:val="16"/>
      <w:szCs w:val="20"/>
    </w:rPr>
  </w:style>
  <w:style w:type="character" w:styleId="Hyperlink">
    <w:name w:val="Hyperlink"/>
    <w:basedOn w:val="DefaultParagraphFont"/>
    <w:rsid w:val="004270C7"/>
    <w:rPr>
      <w:color w:val="0000FF"/>
      <w:u w:val="single"/>
    </w:rPr>
  </w:style>
  <w:style w:type="paragraph" w:styleId="ListBullet">
    <w:name w:val="List Bullet"/>
    <w:basedOn w:val="Normal"/>
    <w:autoRedefine/>
    <w:rsid w:val="004270C7"/>
    <w:pPr>
      <w:numPr>
        <w:numId w:val="3"/>
      </w:numPr>
      <w:tabs>
        <w:tab w:val="clear" w:pos="425"/>
      </w:tabs>
      <w:spacing w:line="280" w:lineRule="exact"/>
    </w:pPr>
    <w:rPr>
      <w:szCs w:val="20"/>
    </w:rPr>
  </w:style>
  <w:style w:type="paragraph" w:customStyle="1" w:styleId="ListPara">
    <w:name w:val="List Para"/>
    <w:basedOn w:val="Normal"/>
    <w:rsid w:val="004270C7"/>
    <w:pPr>
      <w:numPr>
        <w:numId w:val="4"/>
      </w:numPr>
      <w:tabs>
        <w:tab w:val="left" w:pos="851"/>
        <w:tab w:val="left" w:pos="1276"/>
      </w:tabs>
      <w:spacing w:line="280" w:lineRule="exact"/>
    </w:pPr>
    <w:rPr>
      <w:szCs w:val="20"/>
    </w:rPr>
  </w:style>
  <w:style w:type="paragraph" w:customStyle="1" w:styleId="MemoAddresseDetails">
    <w:name w:val="MemoAddresseDetails"/>
    <w:basedOn w:val="Normal"/>
    <w:rsid w:val="004270C7"/>
    <w:pPr>
      <w:spacing w:before="60" w:after="60" w:line="280" w:lineRule="exact"/>
    </w:pPr>
    <w:rPr>
      <w:rFonts w:ascii="Arial" w:hAnsi="Arial"/>
      <w:szCs w:val="20"/>
    </w:rPr>
  </w:style>
  <w:style w:type="paragraph" w:customStyle="1" w:styleId="MemoAddresseePrompts">
    <w:name w:val="MemoAddresseePrompts"/>
    <w:basedOn w:val="Normal"/>
    <w:rsid w:val="004270C7"/>
    <w:pPr>
      <w:tabs>
        <w:tab w:val="left" w:pos="5670"/>
      </w:tabs>
      <w:spacing w:before="60" w:after="60" w:line="280" w:lineRule="exact"/>
    </w:pPr>
    <w:rPr>
      <w:rFonts w:ascii="Arial" w:hAnsi="Arial"/>
      <w:b/>
      <w:szCs w:val="20"/>
    </w:rPr>
  </w:style>
  <w:style w:type="paragraph" w:customStyle="1" w:styleId="ParaBullet">
    <w:name w:val="Para Bullet"/>
    <w:basedOn w:val="Normal"/>
    <w:rsid w:val="004270C7"/>
    <w:pPr>
      <w:numPr>
        <w:numId w:val="5"/>
      </w:numPr>
      <w:tabs>
        <w:tab w:val="clear" w:pos="425"/>
      </w:tabs>
      <w:spacing w:before="60" w:after="220" w:line="280" w:lineRule="exact"/>
    </w:pPr>
    <w:rPr>
      <w:szCs w:val="20"/>
    </w:rPr>
  </w:style>
  <w:style w:type="paragraph" w:customStyle="1" w:styleId="ParaNumbered">
    <w:name w:val="Para Numbered"/>
    <w:basedOn w:val="ParaBullet"/>
    <w:rsid w:val="004270C7"/>
    <w:pPr>
      <w:numPr>
        <w:numId w:val="6"/>
      </w:numPr>
    </w:pPr>
  </w:style>
  <w:style w:type="paragraph" w:customStyle="1" w:styleId="Space">
    <w:name w:val="Space"/>
    <w:basedOn w:val="Normal"/>
    <w:rsid w:val="004270C7"/>
    <w:pPr>
      <w:spacing w:line="320" w:lineRule="atLeast"/>
    </w:pPr>
    <w:rPr>
      <w:szCs w:val="20"/>
    </w:rPr>
  </w:style>
  <w:style w:type="paragraph" w:customStyle="1" w:styleId="Subject">
    <w:name w:val="Subject"/>
    <w:basedOn w:val="Normal"/>
    <w:next w:val="PlainText"/>
    <w:rsid w:val="004270C7"/>
    <w:pPr>
      <w:spacing w:before="60" w:line="280" w:lineRule="exact"/>
    </w:pPr>
    <w:rPr>
      <w:rFonts w:ascii="Arial" w:hAnsi="Arial"/>
      <w:b/>
      <w:szCs w:val="20"/>
    </w:rPr>
  </w:style>
  <w:style w:type="character" w:customStyle="1" w:styleId="StyleTahoma">
    <w:name w:val="Style Tahoma"/>
    <w:basedOn w:val="DefaultParagraphFont"/>
    <w:rsid w:val="00C94F2A"/>
    <w:rPr>
      <w:rFonts w:ascii="Tahoma" w:hAnsi="Tahoma"/>
    </w:rPr>
  </w:style>
  <w:style w:type="paragraph" w:customStyle="1" w:styleId="MoEBodyText">
    <w:name w:val="MoE: Body Text"/>
    <w:basedOn w:val="Normal"/>
    <w:link w:val="MoEBodyTextChar"/>
    <w:qFormat/>
    <w:rsid w:val="000A3193"/>
    <w:pPr>
      <w:spacing w:after="240" w:line="240" w:lineRule="atLeast"/>
    </w:pPr>
    <w:rPr>
      <w:rFonts w:ascii="Arial" w:hAnsi="Arial"/>
      <w:sz w:val="20"/>
      <w:szCs w:val="20"/>
    </w:rPr>
  </w:style>
  <w:style w:type="character" w:customStyle="1" w:styleId="MoEBodyTextChar">
    <w:name w:val="MoE: Body Text Char"/>
    <w:basedOn w:val="DefaultParagraphFont"/>
    <w:link w:val="MoEBodyText"/>
    <w:rsid w:val="000A3193"/>
    <w:rPr>
      <w:rFonts w:ascii="Arial" w:eastAsiaTheme="minorHAnsi" w:hAnsi="Arial" w:cstheme="minorBidi"/>
      <w:lang w:eastAsia="en-US"/>
    </w:rPr>
  </w:style>
  <w:style w:type="paragraph" w:customStyle="1" w:styleId="MoENumberedList">
    <w:name w:val="MoE: Numbered List"/>
    <w:basedOn w:val="ListNumber"/>
    <w:link w:val="MoENumberedListChar"/>
    <w:qFormat/>
    <w:rsid w:val="000A3193"/>
    <w:pPr>
      <w:spacing w:after="240" w:line="240" w:lineRule="auto"/>
    </w:pPr>
    <w:rPr>
      <w:rFonts w:ascii="Arial" w:hAnsi="Arial"/>
      <w:sz w:val="20"/>
    </w:rPr>
  </w:style>
  <w:style w:type="character" w:customStyle="1" w:styleId="MoENumberedListChar">
    <w:name w:val="MoE: Numbered List Char"/>
    <w:basedOn w:val="DefaultParagraphFont"/>
    <w:link w:val="MoENumberedList"/>
    <w:rsid w:val="000A3193"/>
    <w:rPr>
      <w:rFonts w:ascii="Arial" w:eastAsiaTheme="minorHAnsi" w:hAnsi="Arial" w:cstheme="minorBidi"/>
      <w:szCs w:val="22"/>
      <w:lang w:eastAsia="en-US"/>
    </w:rPr>
  </w:style>
  <w:style w:type="table" w:customStyle="1" w:styleId="FiveGoals">
    <w:name w:val="Five Goals"/>
    <w:basedOn w:val="TableNormal"/>
    <w:uiPriority w:val="99"/>
    <w:rsid w:val="000A3193"/>
    <w:pPr>
      <w:spacing w:before="120" w:after="120"/>
      <w:ind w:left="113"/>
    </w:pPr>
    <w:rPr>
      <w:rFonts w:ascii="Arial" w:eastAsiaTheme="minorHAnsi" w:hAnsi="Arial" w:cstheme="minorBidi"/>
      <w:szCs w:val="22"/>
      <w:lang w:eastAsia="en-US"/>
    </w:rPr>
    <w:tblPr>
      <w:tblInd w:w="0" w:type="dxa"/>
      <w:tblBorders>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customStyle="1" w:styleId="BlueSubheading3">
    <w:name w:val="Blue Subheading 3"/>
    <w:basedOn w:val="Heading3"/>
    <w:qFormat/>
    <w:rsid w:val="000A3193"/>
    <w:pPr>
      <w:keepLines/>
      <w:spacing w:before="200" w:after="120" w:line="240" w:lineRule="atLeast"/>
    </w:pPr>
    <w:rPr>
      <w:rFonts w:eastAsiaTheme="majorEastAsia" w:cstheme="majorBidi"/>
      <w:bCs/>
      <w:i w:val="0"/>
      <w:color w:val="3472AC"/>
      <w:sz w:val="20"/>
      <w:szCs w:val="22"/>
    </w:rPr>
  </w:style>
  <w:style w:type="paragraph" w:styleId="ListParagraph">
    <w:name w:val="List Paragraph"/>
    <w:aliases w:val="List Paragraph numbered,List Bullet indent,List Paragraph1,Bullet List,FooterText,numbered,Paragraphe de liste1,Bulletr List Paragraph,列出段落,列出段落1,Listeafsnit1,Parágrafo da Lista1,List Paragraph2,List Paragraph21,Párrafo de lista1,リスト段落1"/>
    <w:basedOn w:val="Normal"/>
    <w:link w:val="ListParagraphChar"/>
    <w:uiPriority w:val="34"/>
    <w:qFormat/>
    <w:rsid w:val="000A3193"/>
    <w:pPr>
      <w:spacing w:after="0" w:line="240" w:lineRule="auto"/>
      <w:ind w:left="720"/>
    </w:pPr>
    <w:rPr>
      <w:rFonts w:ascii="Calibri" w:eastAsia="Times New Roman" w:hAnsi="Calibri" w:cs="Times New Roman"/>
    </w:rPr>
  </w:style>
  <w:style w:type="character" w:customStyle="1" w:styleId="ListParagraphChar">
    <w:name w:val="List Paragraph Char"/>
    <w:aliases w:val="List Paragraph numbered Char,List Bullet indent Char,List Paragraph1 Char,Bullet List Char,FooterText Char,numbered Char,Paragraphe de liste1 Char,Bulletr List Paragraph Char,列出段落 Char,列出段落1 Char,Listeafsnit1 Char,リスト段落1 Char"/>
    <w:basedOn w:val="DefaultParagraphFont"/>
    <w:link w:val="ListParagraph"/>
    <w:uiPriority w:val="34"/>
    <w:locked/>
    <w:rsid w:val="000A3193"/>
    <w:rPr>
      <w:rFonts w:ascii="Calibri" w:hAnsi="Calibri"/>
      <w:sz w:val="22"/>
      <w:szCs w:val="22"/>
      <w:lang w:eastAsia="en-US"/>
    </w:rPr>
  </w:style>
  <w:style w:type="paragraph" w:styleId="ListNumber">
    <w:name w:val="List Number"/>
    <w:basedOn w:val="Normal"/>
    <w:uiPriority w:val="99"/>
    <w:semiHidden/>
    <w:unhideWhenUsed/>
    <w:rsid w:val="000A3193"/>
    <w:pPr>
      <w:numPr>
        <w:numId w:val="7"/>
      </w:numPr>
      <w:contextualSpacing/>
    </w:pPr>
  </w:style>
  <w:style w:type="paragraph" w:customStyle="1" w:styleId="MoECoverPageSubheading">
    <w:name w:val="MoE: Cover Page Subheading"/>
    <w:basedOn w:val="Normal"/>
    <w:link w:val="MoECoverPageSubheadingChar"/>
    <w:qFormat/>
    <w:rsid w:val="000A3193"/>
    <w:rPr>
      <w:rFonts w:ascii="Arial" w:hAnsi="Arial" w:cs="Arial"/>
      <w:color w:val="3F92CF"/>
      <w:sz w:val="28"/>
      <w:szCs w:val="28"/>
    </w:rPr>
  </w:style>
  <w:style w:type="character" w:customStyle="1" w:styleId="MoECoverPageSubheadingChar">
    <w:name w:val="MoE: Cover Page Subheading Char"/>
    <w:basedOn w:val="DefaultParagraphFont"/>
    <w:link w:val="MoECoverPageSubheading"/>
    <w:rsid w:val="000A3193"/>
    <w:rPr>
      <w:rFonts w:ascii="Arial" w:eastAsiaTheme="minorHAnsi" w:hAnsi="Arial" w:cs="Arial"/>
      <w:color w:val="3F92CF"/>
      <w:sz w:val="28"/>
      <w:szCs w:val="28"/>
      <w:lang w:eastAsia="en-US"/>
    </w:rPr>
  </w:style>
  <w:style w:type="paragraph" w:styleId="FootnoteText">
    <w:name w:val="footnote text"/>
    <w:basedOn w:val="Normal"/>
    <w:link w:val="FootnoteTextChar"/>
    <w:uiPriority w:val="99"/>
    <w:semiHidden/>
    <w:rsid w:val="000A31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193"/>
    <w:rPr>
      <w:rFonts w:asciiTheme="minorHAnsi" w:eastAsiaTheme="minorHAnsi" w:hAnsiTheme="minorHAnsi" w:cstheme="minorBidi"/>
      <w:lang w:eastAsia="en-US"/>
    </w:rPr>
  </w:style>
  <w:style w:type="character" w:styleId="FootnoteReference">
    <w:name w:val="footnote reference"/>
    <w:basedOn w:val="DefaultParagraphFont"/>
    <w:uiPriority w:val="99"/>
    <w:semiHidden/>
    <w:rsid w:val="000A3193"/>
    <w:rPr>
      <w:vertAlign w:val="superscript"/>
    </w:rPr>
  </w:style>
  <w:style w:type="table" w:customStyle="1" w:styleId="reversedgrey">
    <w:name w:val="reversed grey"/>
    <w:basedOn w:val="TableNormal"/>
    <w:uiPriority w:val="99"/>
    <w:rsid w:val="000A3193"/>
    <w:pPr>
      <w:spacing w:before="120"/>
      <w:ind w:left="113"/>
    </w:pPr>
    <w:rPr>
      <w:rFonts w:ascii="Arial" w:eastAsiaTheme="minorHAnsi" w:hAnsi="Arial" w:cstheme="minorBidi"/>
      <w:szCs w:val="22"/>
      <w:lang w:eastAsia="en-US"/>
    </w:rPr>
    <w:tblPr>
      <w:tblStyleRowBandSize w:val="1"/>
      <w:tblInd w:w="0" w:type="dxa"/>
      <w:tblBorders>
        <w:insideV w:val="single" w:sz="8" w:space="0" w:color="D9D9D9" w:themeColor="background1" w:themeShade="D9"/>
      </w:tblBorders>
      <w:tblCellMar>
        <w:top w:w="0" w:type="dxa"/>
        <w:left w:w="108" w:type="dxa"/>
        <w:bottom w:w="0" w:type="dxa"/>
        <w:right w:w="108" w:type="dxa"/>
      </w:tblCellMar>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paragraph" w:customStyle="1" w:styleId="MoEHeading3">
    <w:name w:val="MoE: Heading 3"/>
    <w:basedOn w:val="Heading3"/>
    <w:next w:val="MoEBodyText"/>
    <w:link w:val="MoEHeading3Char"/>
    <w:qFormat/>
    <w:rsid w:val="000A3193"/>
    <w:pPr>
      <w:keepLines/>
      <w:spacing w:before="200" w:after="120" w:line="240" w:lineRule="atLeast"/>
    </w:pPr>
    <w:rPr>
      <w:rFonts w:eastAsiaTheme="majorEastAsia" w:cstheme="majorBidi"/>
      <w:i w:val="0"/>
      <w:color w:val="3F92CF"/>
      <w:sz w:val="20"/>
      <w:szCs w:val="24"/>
    </w:rPr>
  </w:style>
  <w:style w:type="character" w:customStyle="1" w:styleId="MoEHeading3Char">
    <w:name w:val="MoE: Heading 3 Char"/>
    <w:basedOn w:val="DefaultParagraphFont"/>
    <w:link w:val="MoEHeading3"/>
    <w:rsid w:val="000A3193"/>
    <w:rPr>
      <w:rFonts w:ascii="Arial" w:eastAsiaTheme="majorEastAsia" w:hAnsi="Arial" w:cstheme="majorBidi"/>
      <w:b/>
      <w:color w:val="3F92CF"/>
      <w:szCs w:val="24"/>
      <w:lang w:eastAsia="en-US"/>
    </w:rPr>
  </w:style>
  <w:style w:type="paragraph" w:styleId="ListBullet2">
    <w:name w:val="List Bullet 2"/>
    <w:basedOn w:val="Normal"/>
    <w:uiPriority w:val="99"/>
    <w:semiHidden/>
    <w:rsid w:val="000A3193"/>
    <w:pPr>
      <w:numPr>
        <w:numId w:val="12"/>
      </w:numPr>
      <w:contextualSpacing/>
    </w:pPr>
  </w:style>
  <w:style w:type="paragraph" w:customStyle="1" w:styleId="BlueHeading1">
    <w:name w:val="Blue Heading 1"/>
    <w:basedOn w:val="Heading1"/>
    <w:qFormat/>
    <w:rsid w:val="000A3193"/>
    <w:pPr>
      <w:keepLines/>
      <w:spacing w:before="0" w:after="840" w:line="240" w:lineRule="auto"/>
    </w:pPr>
    <w:rPr>
      <w:rFonts w:eastAsiaTheme="majorEastAsia" w:cstheme="majorBidi"/>
      <w:bCs/>
      <w:color w:val="3472AC"/>
      <w:sz w:val="44"/>
      <w:szCs w:val="32"/>
    </w:rPr>
  </w:style>
  <w:style w:type="paragraph" w:styleId="CommentText">
    <w:name w:val="annotation text"/>
    <w:basedOn w:val="Normal"/>
    <w:link w:val="CommentTextChar"/>
    <w:uiPriority w:val="99"/>
    <w:semiHidden/>
    <w:unhideWhenUsed/>
    <w:rsid w:val="006804EC"/>
    <w:pPr>
      <w:spacing w:line="240" w:lineRule="auto"/>
    </w:pPr>
    <w:rPr>
      <w:sz w:val="20"/>
      <w:szCs w:val="20"/>
    </w:rPr>
  </w:style>
  <w:style w:type="character" w:customStyle="1" w:styleId="CommentTextChar">
    <w:name w:val="Comment Text Char"/>
    <w:basedOn w:val="DefaultParagraphFont"/>
    <w:link w:val="CommentText"/>
    <w:uiPriority w:val="99"/>
    <w:semiHidden/>
    <w:rsid w:val="006804E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6804EC"/>
    <w:rPr>
      <w:b/>
      <w:bCs/>
    </w:rPr>
  </w:style>
  <w:style w:type="character" w:customStyle="1" w:styleId="CommentSubjectChar">
    <w:name w:val="Comment Subject Char"/>
    <w:basedOn w:val="CommentTextChar"/>
    <w:link w:val="CommentSubject"/>
    <w:uiPriority w:val="99"/>
    <w:semiHidden/>
    <w:rsid w:val="006804EC"/>
    <w:rPr>
      <w:b/>
      <w:bCs/>
    </w:rPr>
  </w:style>
  <w:style w:type="paragraph" w:styleId="BalloonText">
    <w:name w:val="Balloon Text"/>
    <w:basedOn w:val="Normal"/>
    <w:link w:val="BalloonTextChar"/>
    <w:uiPriority w:val="99"/>
    <w:semiHidden/>
    <w:unhideWhenUsed/>
    <w:rsid w:val="00680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4EC"/>
    <w:rPr>
      <w:rFonts w:ascii="Tahoma" w:eastAsiaTheme="minorHAnsi" w:hAnsi="Tahoma" w:cs="Tahoma"/>
      <w:sz w:val="16"/>
      <w:szCs w:val="16"/>
      <w:lang w:eastAsia="en-US"/>
    </w:rPr>
  </w:style>
  <w:style w:type="character" w:customStyle="1" w:styleId="FooterChar">
    <w:name w:val="Footer Char"/>
    <w:basedOn w:val="DefaultParagraphFont"/>
    <w:link w:val="Footer"/>
    <w:uiPriority w:val="99"/>
    <w:rsid w:val="008D3ACA"/>
    <w:rPr>
      <w:rFonts w:ascii="Arial" w:eastAsiaTheme="minorHAnsi" w:hAnsi="Arial" w:cstheme="minorBidi"/>
      <w:sz w:val="15"/>
      <w:lang w:eastAsia="en-US"/>
    </w:rPr>
  </w:style>
  <w:style w:type="character" w:customStyle="1" w:styleId="HeaderChar">
    <w:name w:val="Header Char"/>
    <w:basedOn w:val="DefaultParagraphFont"/>
    <w:link w:val="Header"/>
    <w:rsid w:val="0066491B"/>
    <w:rPr>
      <w:rFonts w:asciiTheme="minorHAnsi" w:eastAsiaTheme="minorHAnsi" w:hAnsiTheme="minorHAnsi" w:cstheme="minorBidi"/>
      <w:sz w:val="16"/>
      <w:lang w:eastAsia="en-US"/>
    </w:rPr>
  </w:style>
</w:styles>
</file>

<file path=word/webSettings.xml><?xml version="1.0" encoding="utf-8"?>
<w:webSettings xmlns:r="http://schemas.openxmlformats.org/officeDocument/2006/relationships" xmlns:w="http://schemas.openxmlformats.org/wordprocessingml/2006/main">
  <w:divs>
    <w:div w:id="35732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04A5D-8303-4FED-86B6-EF2A05D8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9</Pages>
  <Words>2627</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Pearce</dc:creator>
  <cp:lastModifiedBy>Melissa Idiens</cp:lastModifiedBy>
  <cp:revision>40</cp:revision>
  <cp:lastPrinted>2016-06-01T01:15:00Z</cp:lastPrinted>
  <dcterms:created xsi:type="dcterms:W3CDTF">2016-05-26T00:01:00Z</dcterms:created>
  <dcterms:modified xsi:type="dcterms:W3CDTF">2016-06-24T01:06:00Z</dcterms:modified>
</cp:coreProperties>
</file>