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1D" w:rsidRPr="00DC1A5F" w:rsidRDefault="00D6101D" w:rsidP="00D6101D">
      <w:pPr>
        <w:jc w:val="center"/>
        <w:rPr>
          <w:rFonts w:cs="Arial"/>
          <w:b/>
          <w:sz w:val="22"/>
          <w:szCs w:val="22"/>
        </w:rPr>
      </w:pPr>
      <w:bookmarkStart w:id="0" w:name="_Toc12242942"/>
      <w:r w:rsidRPr="00DC1A5F">
        <w:rPr>
          <w:rFonts w:cs="Arial"/>
          <w:b/>
          <w:sz w:val="22"/>
          <w:szCs w:val="22"/>
        </w:rPr>
        <w:t>Kiwi Park School</w:t>
      </w:r>
      <w:r w:rsidRPr="00DC1A5F">
        <w:rPr>
          <w:rFonts w:cs="Arial"/>
          <w:b/>
          <w:sz w:val="22"/>
          <w:szCs w:val="22"/>
        </w:rPr>
        <w:br/>
        <w:t>Asset Management Policy</w:t>
      </w:r>
      <w:bookmarkEnd w:id="0"/>
    </w:p>
    <w:p w:rsidR="00D6101D" w:rsidRPr="00DC1A5F" w:rsidRDefault="00D6101D" w:rsidP="00D6101D">
      <w:pPr>
        <w:pStyle w:val="BodyText"/>
        <w:ind w:left="720" w:firstLine="720"/>
        <w:jc w:val="both"/>
        <w:rPr>
          <w:rFonts w:cs="Arial"/>
          <w:sz w:val="22"/>
          <w:szCs w:val="22"/>
        </w:rPr>
      </w:pPr>
      <w:r w:rsidRPr="00DC1A5F">
        <w:rPr>
          <w:rFonts w:cs="Arial"/>
          <w:b/>
          <w:i/>
          <w:sz w:val="22"/>
          <w:szCs w:val="22"/>
        </w:rPr>
        <w:t xml:space="preserve">Adopted by the Board </w:t>
      </w:r>
      <w:r w:rsidR="0097376B">
        <w:rPr>
          <w:rFonts w:cs="Arial"/>
          <w:b/>
          <w:i/>
          <w:sz w:val="22"/>
          <w:szCs w:val="22"/>
          <w:lang w:val="en-NZ"/>
        </w:rPr>
        <w:t xml:space="preserve">of Trustees </w:t>
      </w:r>
      <w:r w:rsidRPr="00DC1A5F">
        <w:rPr>
          <w:rFonts w:cs="Arial"/>
          <w:b/>
          <w:i/>
          <w:sz w:val="22"/>
          <w:szCs w:val="22"/>
        </w:rPr>
        <w:t>on 31 October 20XX</w:t>
      </w:r>
    </w:p>
    <w:p w:rsidR="00D6101D" w:rsidRPr="00DC1A5F" w:rsidRDefault="00D6101D" w:rsidP="00D6101D">
      <w:pPr>
        <w:pStyle w:val="BodyText"/>
        <w:jc w:val="both"/>
        <w:rPr>
          <w:rFonts w:cs="Arial"/>
          <w:sz w:val="22"/>
          <w:szCs w:val="22"/>
        </w:rPr>
      </w:pPr>
      <w:r w:rsidRPr="00DC1A5F">
        <w:rPr>
          <w:rFonts w:cs="Arial"/>
          <w:sz w:val="22"/>
          <w:szCs w:val="22"/>
        </w:rPr>
        <w:t xml:space="preserve">The </w:t>
      </w:r>
      <w:r>
        <w:rPr>
          <w:rFonts w:cs="Arial"/>
          <w:sz w:val="22"/>
          <w:szCs w:val="22"/>
          <w:lang w:val="en-NZ"/>
        </w:rPr>
        <w:t xml:space="preserve">board </w:t>
      </w:r>
      <w:r w:rsidR="0097376B">
        <w:rPr>
          <w:rFonts w:cs="Arial"/>
          <w:sz w:val="22"/>
          <w:szCs w:val="22"/>
          <w:lang w:val="en-NZ"/>
        </w:rPr>
        <w:t xml:space="preserve">of trustees </w:t>
      </w:r>
      <w:bookmarkStart w:id="1" w:name="_GoBack"/>
      <w:bookmarkEnd w:id="1"/>
      <w:r w:rsidRPr="00DC1A5F">
        <w:rPr>
          <w:rFonts w:cs="Arial"/>
          <w:sz w:val="22"/>
          <w:szCs w:val="22"/>
        </w:rPr>
        <w:t>(the Board) of Kiwi Park School (the School) has consulted with staff and parents in the formulation of this policy (the Policy). The Policy was approved and adopted by the Board at its meeting held on 31 October 20XX and became effective from that date.</w:t>
      </w:r>
    </w:p>
    <w:p w:rsidR="00D6101D" w:rsidRPr="00DC1A5F" w:rsidRDefault="00D6101D" w:rsidP="00D6101D">
      <w:pPr>
        <w:pStyle w:val="NormalWeb"/>
        <w:jc w:val="both"/>
        <w:rPr>
          <w:rFonts w:ascii="Arial" w:hAnsi="Arial" w:cs="Arial"/>
          <w:b/>
          <w:sz w:val="22"/>
          <w:szCs w:val="22"/>
        </w:rPr>
      </w:pPr>
      <w:bookmarkStart w:id="2" w:name="_Toc12242720"/>
      <w:bookmarkStart w:id="3" w:name="_Toc12242944"/>
      <w:bookmarkStart w:id="4" w:name="_Toc62625956"/>
      <w:bookmarkStart w:id="5" w:name="_Toc65306299"/>
      <w:r w:rsidRPr="00DC1A5F">
        <w:rPr>
          <w:rFonts w:ascii="Arial" w:hAnsi="Arial" w:cs="Arial"/>
          <w:b/>
          <w:sz w:val="22"/>
          <w:szCs w:val="22"/>
        </w:rPr>
        <w:t>Introduction</w:t>
      </w:r>
      <w:bookmarkEnd w:id="2"/>
      <w:bookmarkEnd w:id="3"/>
      <w:bookmarkEnd w:id="4"/>
      <w:bookmarkEnd w:id="5"/>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 xml:space="preserve">The Board accepts that it has a responsibility to protect the assets of the School. The Board has agreed on the fundamental principles of this Policy, and has delegated responsibility for the implementation and monitoring of this Policy to the principal. </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In the formulation and approval of this Policy, the Board has had due regard to the accepted standards of sound asset management and applied these to the School. The Board wishes to record that it sought the advice of a chartered accountant and consulted with the School’s auditor in their role as agent of the controller and Auditor-General before approving this Policy.</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Board requires the principal, as the chief executive and the Board’s most senior employee, to implement and manage this Policy. The principal may, from time to time, further delegate some of their responsibilities, and all such delegations must be attached as appendices to this Policy.</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This Policy must be read in conjunction with other Board policies, and the exercising of all authority and responsibilities conferred under this Policy must be in accordance with the Schedule of Delegations and may not exceed an individual’s established level of delegated authority.</w:t>
      </w:r>
    </w:p>
    <w:p w:rsidR="00D6101D" w:rsidRPr="00DC1A5F" w:rsidRDefault="00D6101D" w:rsidP="00D6101D">
      <w:pPr>
        <w:pStyle w:val="NormalWeb"/>
        <w:jc w:val="both"/>
        <w:rPr>
          <w:rFonts w:ascii="Arial" w:hAnsi="Arial" w:cs="Arial"/>
          <w:b/>
          <w:sz w:val="22"/>
          <w:szCs w:val="22"/>
        </w:rPr>
      </w:pPr>
      <w:r w:rsidRPr="00DC1A5F">
        <w:rPr>
          <w:rFonts w:ascii="Arial" w:hAnsi="Arial" w:cs="Arial"/>
          <w:b/>
          <w:sz w:val="22"/>
          <w:szCs w:val="22"/>
        </w:rPr>
        <w:t>Acquisition of assets</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Board agrees to review the asset management plan annually and agree a budget for annual asset acquisitions.</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principal shall have delegated authority to purchase assets within the annual asset acquisition budget, following good procurement processes, provided that the value of any individual asset is no more than $10,000.</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decision to purchase any asset with a cost of over $10,000 must be made by the Board, not the principal alone.</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 xml:space="preserve">The Board shall consider the most cost-efficient acquisition method for each new asset acquisition decision, </w:t>
      </w:r>
      <w:proofErr w:type="spellStart"/>
      <w:r w:rsidRPr="00DC1A5F">
        <w:rPr>
          <w:rFonts w:cs="Arial"/>
          <w:sz w:val="22"/>
          <w:szCs w:val="22"/>
        </w:rPr>
        <w:t>ie</w:t>
      </w:r>
      <w:proofErr w:type="spellEnd"/>
      <w:r w:rsidRPr="00DC1A5F">
        <w:rPr>
          <w:rFonts w:cs="Arial"/>
          <w:sz w:val="22"/>
          <w:szCs w:val="22"/>
        </w:rPr>
        <w:t xml:space="preserve"> whether to buy or lease, and whether to acquire by operating or finance lease.</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Board shall follow good procurement processes for the acquisition of assets over $10,000. This may include placing a notice on the Government Electronic Tendering System (GETS) for acquiring assets with a combined value over $100,000; obtaining several quotes to compare value for money; and managing any potential conflicts of interest appropriately.</w:t>
      </w:r>
    </w:p>
    <w:p w:rsidR="00D6101D" w:rsidRPr="00DC1A5F" w:rsidRDefault="00D6101D" w:rsidP="00D6101D">
      <w:pPr>
        <w:pStyle w:val="NormalWeb"/>
        <w:jc w:val="both"/>
        <w:rPr>
          <w:rFonts w:ascii="Arial" w:hAnsi="Arial" w:cs="Arial"/>
          <w:b/>
          <w:sz w:val="22"/>
          <w:szCs w:val="22"/>
        </w:rPr>
      </w:pPr>
      <w:r w:rsidRPr="00DC1A5F">
        <w:rPr>
          <w:rFonts w:ascii="Arial" w:hAnsi="Arial" w:cs="Arial"/>
          <w:b/>
          <w:sz w:val="22"/>
          <w:szCs w:val="22"/>
        </w:rPr>
        <w:t>Information technology assets</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 xml:space="preserve">All information technology assets, such as computers and laptops and associated software, must be compatible with the standard operating platform used within the school.  </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lastRenderedPageBreak/>
        <w:t>The Board aims to provide and maintain a suite of IT assets that provides the best possible learning tools for students, within budget constraints, including a replacement programme that matches the expected useful life of each asset.</w:t>
      </w:r>
    </w:p>
    <w:p w:rsidR="00D6101D" w:rsidRPr="00DC1A5F" w:rsidRDefault="00D6101D" w:rsidP="00D6101D">
      <w:pPr>
        <w:pStyle w:val="BodyText"/>
        <w:spacing w:after="60" w:line="240" w:lineRule="auto"/>
        <w:jc w:val="both"/>
        <w:rPr>
          <w:rFonts w:cs="Arial"/>
          <w:b/>
          <w:sz w:val="22"/>
          <w:szCs w:val="22"/>
          <w:lang w:val="en-NZ"/>
        </w:rPr>
      </w:pPr>
    </w:p>
    <w:p w:rsidR="00D6101D" w:rsidRDefault="00D6101D" w:rsidP="00D6101D">
      <w:pPr>
        <w:pStyle w:val="BodyText"/>
        <w:spacing w:after="60" w:line="240" w:lineRule="auto"/>
        <w:jc w:val="both"/>
        <w:rPr>
          <w:rFonts w:cs="Arial"/>
          <w:b/>
          <w:sz w:val="22"/>
          <w:szCs w:val="22"/>
          <w:lang w:val="en-NZ"/>
        </w:rPr>
      </w:pPr>
      <w:r w:rsidRPr="00DC1A5F">
        <w:rPr>
          <w:rFonts w:cs="Arial"/>
          <w:b/>
          <w:sz w:val="22"/>
          <w:szCs w:val="22"/>
        </w:rPr>
        <w:t>Expected useful lives</w:t>
      </w:r>
    </w:p>
    <w:p w:rsidR="00D6101D" w:rsidRPr="00DC1A5F" w:rsidRDefault="00D6101D" w:rsidP="00D6101D">
      <w:pPr>
        <w:pStyle w:val="BodyText"/>
        <w:spacing w:after="60" w:line="240" w:lineRule="auto"/>
        <w:jc w:val="both"/>
        <w:rPr>
          <w:rFonts w:cs="Arial"/>
          <w:sz w:val="22"/>
          <w:szCs w:val="22"/>
          <w:lang w:val="en-NZ"/>
        </w:rPr>
      </w:pPr>
    </w:p>
    <w:p w:rsidR="00D6101D" w:rsidRPr="00DC1A5F" w:rsidRDefault="00D6101D" w:rsidP="00D6101D">
      <w:pPr>
        <w:pStyle w:val="BodyText"/>
        <w:keepNext/>
        <w:keepLines/>
        <w:numPr>
          <w:ilvl w:val="0"/>
          <w:numId w:val="1"/>
        </w:numPr>
        <w:spacing w:after="60" w:line="240" w:lineRule="auto"/>
        <w:jc w:val="both"/>
        <w:rPr>
          <w:rFonts w:cs="Arial"/>
          <w:sz w:val="22"/>
          <w:szCs w:val="22"/>
        </w:rPr>
      </w:pPr>
      <w:r w:rsidRPr="00DC1A5F">
        <w:rPr>
          <w:rFonts w:cs="Arial"/>
          <w:sz w:val="22"/>
          <w:szCs w:val="22"/>
        </w:rPr>
        <w:t>The Board agrees on the expected useful lives of the following types of assets:</w:t>
      </w:r>
    </w:p>
    <w:p w:rsidR="00D6101D" w:rsidRPr="00DC1A5F" w:rsidRDefault="00D6101D" w:rsidP="00D6101D">
      <w:pPr>
        <w:pStyle w:val="NormalText"/>
        <w:keepNext/>
        <w:keepLines/>
        <w:spacing w:before="100" w:beforeAutospacing="1" w:after="100" w:afterAutospacing="1"/>
        <w:ind w:left="0" w:firstLine="720"/>
        <w:jc w:val="both"/>
        <w:rPr>
          <w:color w:val="auto"/>
          <w:sz w:val="22"/>
          <w:szCs w:val="22"/>
        </w:rPr>
      </w:pPr>
      <w:r w:rsidRPr="00DC1A5F">
        <w:rPr>
          <w:color w:val="auto"/>
          <w:sz w:val="22"/>
          <w:szCs w:val="22"/>
        </w:rPr>
        <w:t>Buildings – School</w:t>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t>18–40 years</w:t>
      </w:r>
    </w:p>
    <w:p w:rsidR="00D6101D" w:rsidRPr="00DC1A5F" w:rsidRDefault="00D6101D" w:rsidP="00D6101D">
      <w:pPr>
        <w:pStyle w:val="NormalText"/>
        <w:keepNext/>
        <w:keepLines/>
        <w:spacing w:before="100" w:beforeAutospacing="1" w:after="100" w:afterAutospacing="1"/>
        <w:ind w:left="0" w:firstLine="720"/>
        <w:jc w:val="both"/>
        <w:rPr>
          <w:color w:val="auto"/>
          <w:sz w:val="22"/>
          <w:szCs w:val="22"/>
        </w:rPr>
      </w:pPr>
      <w:r w:rsidRPr="00DC1A5F">
        <w:rPr>
          <w:color w:val="auto"/>
          <w:sz w:val="22"/>
          <w:szCs w:val="22"/>
        </w:rPr>
        <w:t>Building improvements – Crown</w:t>
      </w:r>
      <w:r w:rsidRPr="00DC1A5F">
        <w:rPr>
          <w:color w:val="auto"/>
          <w:sz w:val="22"/>
          <w:szCs w:val="22"/>
        </w:rPr>
        <w:tab/>
      </w:r>
      <w:r w:rsidRPr="00DC1A5F">
        <w:rPr>
          <w:color w:val="auto"/>
          <w:sz w:val="22"/>
          <w:szCs w:val="22"/>
        </w:rPr>
        <w:tab/>
      </w:r>
      <w:r w:rsidRPr="00DC1A5F">
        <w:rPr>
          <w:color w:val="auto"/>
          <w:sz w:val="22"/>
          <w:szCs w:val="22"/>
        </w:rPr>
        <w:tab/>
        <w:t>10–20 years</w:t>
      </w:r>
    </w:p>
    <w:p w:rsidR="00D6101D" w:rsidRPr="00DC1A5F" w:rsidRDefault="00D6101D" w:rsidP="00D6101D">
      <w:pPr>
        <w:pStyle w:val="NormalText"/>
        <w:keepNext/>
        <w:keepLines/>
        <w:spacing w:before="100" w:beforeAutospacing="1" w:after="100" w:afterAutospacing="1"/>
        <w:ind w:left="0"/>
        <w:jc w:val="both"/>
        <w:rPr>
          <w:color w:val="auto"/>
          <w:sz w:val="22"/>
          <w:szCs w:val="22"/>
        </w:rPr>
      </w:pPr>
      <w:r w:rsidRPr="00DC1A5F">
        <w:rPr>
          <w:color w:val="auto"/>
          <w:sz w:val="22"/>
          <w:szCs w:val="22"/>
        </w:rPr>
        <w:tab/>
        <w:t>Furniture and equipment</w:t>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t>10–15 years</w:t>
      </w:r>
    </w:p>
    <w:p w:rsidR="00D6101D" w:rsidRPr="00DC1A5F" w:rsidRDefault="00D6101D" w:rsidP="00D6101D">
      <w:pPr>
        <w:pStyle w:val="NormalText"/>
        <w:keepNext/>
        <w:keepLines/>
        <w:spacing w:before="100" w:beforeAutospacing="1" w:after="100" w:afterAutospacing="1"/>
        <w:ind w:left="0" w:firstLine="720"/>
        <w:jc w:val="both"/>
        <w:rPr>
          <w:color w:val="auto"/>
          <w:sz w:val="22"/>
          <w:szCs w:val="22"/>
        </w:rPr>
      </w:pPr>
      <w:r w:rsidRPr="00DC1A5F">
        <w:rPr>
          <w:color w:val="auto"/>
          <w:sz w:val="22"/>
          <w:szCs w:val="22"/>
        </w:rPr>
        <w:t>Information and communication technology</w:t>
      </w:r>
      <w:r w:rsidRPr="00DC1A5F">
        <w:rPr>
          <w:color w:val="auto"/>
          <w:sz w:val="22"/>
          <w:szCs w:val="22"/>
        </w:rPr>
        <w:tab/>
      </w:r>
      <w:r w:rsidRPr="00DC1A5F">
        <w:rPr>
          <w:color w:val="auto"/>
          <w:sz w:val="22"/>
          <w:szCs w:val="22"/>
        </w:rPr>
        <w:tab/>
        <w:t>4 years</w:t>
      </w:r>
    </w:p>
    <w:p w:rsidR="00D6101D" w:rsidRPr="00DC1A5F" w:rsidRDefault="00D6101D" w:rsidP="00D6101D">
      <w:pPr>
        <w:pStyle w:val="NormalText"/>
        <w:keepNext/>
        <w:keepLines/>
        <w:spacing w:before="100" w:beforeAutospacing="1" w:after="100" w:afterAutospacing="1"/>
        <w:ind w:left="0" w:firstLine="720"/>
        <w:jc w:val="both"/>
        <w:rPr>
          <w:color w:val="auto"/>
          <w:sz w:val="22"/>
          <w:szCs w:val="22"/>
        </w:rPr>
      </w:pPr>
      <w:r w:rsidRPr="00DC1A5F">
        <w:rPr>
          <w:color w:val="auto"/>
          <w:sz w:val="22"/>
          <w:szCs w:val="22"/>
        </w:rPr>
        <w:t>Motor vehicles</w:t>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t>5 years</w:t>
      </w:r>
    </w:p>
    <w:p w:rsidR="00D6101D" w:rsidRPr="00DC1A5F" w:rsidRDefault="00D6101D" w:rsidP="00D6101D">
      <w:pPr>
        <w:pStyle w:val="NormalText"/>
        <w:keepNext/>
        <w:keepLines/>
        <w:spacing w:before="100" w:beforeAutospacing="1" w:after="100" w:afterAutospacing="1"/>
        <w:ind w:left="0" w:firstLine="720"/>
        <w:jc w:val="both"/>
        <w:rPr>
          <w:color w:val="auto"/>
          <w:sz w:val="22"/>
          <w:szCs w:val="22"/>
        </w:rPr>
      </w:pPr>
      <w:r w:rsidRPr="00DC1A5F">
        <w:rPr>
          <w:color w:val="auto"/>
          <w:sz w:val="22"/>
          <w:szCs w:val="22"/>
        </w:rPr>
        <w:t>Textbooks</w:t>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t>3 years</w:t>
      </w:r>
    </w:p>
    <w:p w:rsidR="00D6101D" w:rsidRPr="00DC1A5F" w:rsidRDefault="00D6101D" w:rsidP="00D6101D">
      <w:pPr>
        <w:pStyle w:val="NormalText"/>
        <w:keepNext/>
        <w:keepLines/>
        <w:spacing w:before="100" w:beforeAutospacing="1" w:after="100" w:afterAutospacing="1"/>
        <w:ind w:left="0"/>
        <w:jc w:val="both"/>
        <w:rPr>
          <w:color w:val="auto"/>
          <w:sz w:val="22"/>
          <w:szCs w:val="22"/>
        </w:rPr>
      </w:pPr>
      <w:r w:rsidRPr="00DC1A5F">
        <w:rPr>
          <w:color w:val="auto"/>
          <w:sz w:val="22"/>
          <w:szCs w:val="22"/>
        </w:rPr>
        <w:tab/>
        <w:t>Leased assets</w:t>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t>4 years</w:t>
      </w:r>
    </w:p>
    <w:p w:rsidR="00D6101D" w:rsidRPr="00DC1A5F" w:rsidRDefault="00D6101D" w:rsidP="00D6101D">
      <w:pPr>
        <w:pStyle w:val="NormalText"/>
        <w:spacing w:before="100" w:beforeAutospacing="1" w:after="100" w:afterAutospacing="1"/>
        <w:ind w:left="0"/>
        <w:jc w:val="both"/>
        <w:rPr>
          <w:color w:val="auto"/>
          <w:sz w:val="22"/>
          <w:szCs w:val="22"/>
        </w:rPr>
      </w:pPr>
      <w:r w:rsidRPr="00DC1A5F">
        <w:rPr>
          <w:color w:val="auto"/>
          <w:sz w:val="22"/>
          <w:szCs w:val="22"/>
        </w:rPr>
        <w:tab/>
        <w:t>Library resources</w:t>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r>
      <w:r w:rsidRPr="00DC1A5F">
        <w:rPr>
          <w:color w:val="auto"/>
          <w:sz w:val="22"/>
          <w:szCs w:val="22"/>
        </w:rPr>
        <w:tab/>
        <w:t>8 years</w:t>
      </w:r>
    </w:p>
    <w:p w:rsidR="00D6101D" w:rsidRPr="00DC1A5F" w:rsidRDefault="00D6101D" w:rsidP="00D6101D">
      <w:pPr>
        <w:pStyle w:val="NormalWeb"/>
        <w:keepNext/>
        <w:jc w:val="both"/>
        <w:rPr>
          <w:rFonts w:ascii="Arial" w:hAnsi="Arial" w:cs="Arial"/>
          <w:b/>
          <w:sz w:val="22"/>
          <w:szCs w:val="22"/>
        </w:rPr>
      </w:pPr>
      <w:r w:rsidRPr="00DC1A5F">
        <w:rPr>
          <w:rFonts w:ascii="Arial" w:hAnsi="Arial" w:cs="Arial"/>
          <w:b/>
          <w:sz w:val="22"/>
          <w:szCs w:val="22"/>
        </w:rPr>
        <w:t>Maintenance of assets</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principal shall have delegated authority to maintain the school’s assets in good working order, within the approved budget.</w:t>
      </w:r>
    </w:p>
    <w:p w:rsidR="00D6101D" w:rsidRPr="00DC1A5F" w:rsidRDefault="00D6101D" w:rsidP="00D6101D">
      <w:pPr>
        <w:pStyle w:val="NormalWeb"/>
        <w:jc w:val="both"/>
        <w:rPr>
          <w:rFonts w:ascii="Arial" w:hAnsi="Arial" w:cs="Arial"/>
          <w:b/>
          <w:sz w:val="22"/>
          <w:szCs w:val="22"/>
        </w:rPr>
      </w:pPr>
      <w:r w:rsidRPr="00DC1A5F">
        <w:rPr>
          <w:rFonts w:ascii="Arial" w:hAnsi="Arial" w:cs="Arial"/>
          <w:b/>
          <w:sz w:val="22"/>
          <w:szCs w:val="22"/>
        </w:rPr>
        <w:t>Asset records</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 xml:space="preserve">A fixed asset register for all assets with a cost of $1,000 or more shall be recorded in the fixed asset register. </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 xml:space="preserve">Assets that cost less than $1,000 shall be recorded in a register of valuable assets. </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A review of assets against the fixed asset and valuable asset registers shall be undertaken at least once a year.</w:t>
      </w:r>
    </w:p>
    <w:p w:rsidR="00D6101D" w:rsidRPr="00DC1A5F" w:rsidRDefault="00D6101D" w:rsidP="00D6101D">
      <w:pPr>
        <w:pStyle w:val="NormalWeb"/>
        <w:jc w:val="both"/>
        <w:rPr>
          <w:rFonts w:ascii="Arial" w:hAnsi="Arial" w:cs="Arial"/>
          <w:b/>
          <w:sz w:val="22"/>
          <w:szCs w:val="22"/>
        </w:rPr>
      </w:pPr>
      <w:r w:rsidRPr="00DC1A5F">
        <w:rPr>
          <w:rFonts w:ascii="Arial" w:hAnsi="Arial" w:cs="Arial"/>
          <w:b/>
          <w:sz w:val="22"/>
          <w:szCs w:val="22"/>
        </w:rPr>
        <w:t>Disposal of assets</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 xml:space="preserve">The principal shall have delegated authority to dispose of any asset that has reached the end of its useful life (as recorded in the fixed asset or valuable asset registers), provided the original cost of that asset was less than $10,000. The principal shall report to the Board about reasons for disposal, disposal process and any net disposal proceeds.  </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The Board shall approve the disposal of any asset that had an original cost of over $10,000, including the reasons for disposal, disposal process and use of any disposal proceeds.</w:t>
      </w:r>
      <w:bookmarkStart w:id="6" w:name="_Toc12242729"/>
      <w:bookmarkStart w:id="7" w:name="_Toc12242953"/>
      <w:bookmarkStart w:id="8" w:name="_Toc62625965"/>
      <w:bookmarkStart w:id="9" w:name="_Toc65306308"/>
    </w:p>
    <w:p w:rsidR="00D6101D" w:rsidRDefault="00D6101D" w:rsidP="00D6101D">
      <w:pPr>
        <w:pStyle w:val="NormalWeb"/>
        <w:jc w:val="both"/>
        <w:rPr>
          <w:rFonts w:ascii="Arial" w:hAnsi="Arial" w:cs="Arial"/>
          <w:b/>
          <w:sz w:val="22"/>
          <w:szCs w:val="22"/>
        </w:rPr>
      </w:pPr>
    </w:p>
    <w:p w:rsidR="00D6101D" w:rsidRDefault="00D6101D" w:rsidP="00D6101D">
      <w:pPr>
        <w:pStyle w:val="NormalWeb"/>
        <w:jc w:val="both"/>
        <w:rPr>
          <w:rFonts w:ascii="Arial" w:hAnsi="Arial" w:cs="Arial"/>
          <w:b/>
          <w:sz w:val="22"/>
          <w:szCs w:val="22"/>
        </w:rPr>
      </w:pPr>
    </w:p>
    <w:p w:rsidR="00D6101D" w:rsidRPr="00DC1A5F" w:rsidRDefault="00D6101D" w:rsidP="00D6101D">
      <w:pPr>
        <w:pStyle w:val="NormalWeb"/>
        <w:jc w:val="both"/>
        <w:rPr>
          <w:rFonts w:ascii="Arial" w:hAnsi="Arial" w:cs="Arial"/>
          <w:b/>
          <w:sz w:val="22"/>
          <w:szCs w:val="22"/>
        </w:rPr>
      </w:pPr>
      <w:r w:rsidRPr="00DC1A5F">
        <w:rPr>
          <w:rFonts w:ascii="Arial" w:hAnsi="Arial" w:cs="Arial"/>
          <w:b/>
          <w:sz w:val="22"/>
          <w:szCs w:val="22"/>
        </w:rPr>
        <w:lastRenderedPageBreak/>
        <w:t>Approval</w:t>
      </w:r>
      <w:bookmarkEnd w:id="6"/>
      <w:bookmarkEnd w:id="7"/>
      <w:bookmarkEnd w:id="8"/>
      <w:bookmarkEnd w:id="9"/>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When the Board approved this Policy, it agreed that no variations of this Policy or amendments to it can be made except with the unanimous approval of the Board.</w:t>
      </w:r>
    </w:p>
    <w:p w:rsidR="00D6101D" w:rsidRPr="00DC1A5F" w:rsidRDefault="00D6101D" w:rsidP="00D6101D">
      <w:pPr>
        <w:pStyle w:val="BodyText"/>
        <w:numPr>
          <w:ilvl w:val="0"/>
          <w:numId w:val="1"/>
        </w:numPr>
        <w:spacing w:after="60" w:line="240" w:lineRule="auto"/>
        <w:jc w:val="both"/>
        <w:rPr>
          <w:rFonts w:cs="Arial"/>
          <w:sz w:val="22"/>
          <w:szCs w:val="22"/>
        </w:rPr>
      </w:pPr>
      <w:r w:rsidRPr="00DC1A5F">
        <w:rPr>
          <w:rFonts w:cs="Arial"/>
          <w:sz w:val="22"/>
          <w:szCs w:val="22"/>
        </w:rPr>
        <w:t>As part of its approval, the Board requires the principal to circulate this Policy to all staff, and for a copy to be included in the School policy manual, copies of which shall be available to all staff. The School policy manual shall also be made available to students and parents at their request. The Board requires that the principal arrange for all new staff to be made familiar with this Policy and other policies approved by the Board.</w:t>
      </w:r>
    </w:p>
    <w:p w:rsidR="00D6101D" w:rsidRDefault="00D6101D" w:rsidP="00D6101D">
      <w:pPr>
        <w:pStyle w:val="BodyText"/>
        <w:spacing w:before="240"/>
        <w:jc w:val="both"/>
        <w:rPr>
          <w:rFonts w:cs="Arial"/>
          <w:sz w:val="22"/>
          <w:szCs w:val="22"/>
          <w:lang w:val="en-NZ"/>
        </w:rPr>
      </w:pPr>
    </w:p>
    <w:p w:rsidR="00D6101D" w:rsidRDefault="00D6101D" w:rsidP="00D6101D">
      <w:pPr>
        <w:pStyle w:val="BodyText"/>
        <w:spacing w:before="240"/>
        <w:jc w:val="both"/>
        <w:rPr>
          <w:rFonts w:cs="Arial"/>
          <w:sz w:val="22"/>
          <w:szCs w:val="22"/>
          <w:lang w:val="en-NZ"/>
        </w:rPr>
      </w:pPr>
    </w:p>
    <w:p w:rsidR="00D6101D" w:rsidRDefault="00D6101D" w:rsidP="00D6101D">
      <w:pPr>
        <w:pStyle w:val="BodyText"/>
        <w:spacing w:before="240"/>
        <w:jc w:val="both"/>
        <w:rPr>
          <w:rFonts w:cs="Arial"/>
          <w:sz w:val="22"/>
          <w:szCs w:val="22"/>
          <w:lang w:val="en-NZ"/>
        </w:rPr>
      </w:pPr>
    </w:p>
    <w:p w:rsidR="00D6101D" w:rsidRPr="00DC1A5F" w:rsidRDefault="00D6101D" w:rsidP="00D6101D">
      <w:pPr>
        <w:pStyle w:val="BodyText"/>
        <w:spacing w:before="240"/>
        <w:jc w:val="both"/>
        <w:rPr>
          <w:rFonts w:cs="Arial"/>
          <w:sz w:val="22"/>
          <w:szCs w:val="22"/>
        </w:rPr>
      </w:pPr>
      <w:r w:rsidRPr="00DC1A5F">
        <w:rPr>
          <w:rFonts w:cs="Arial"/>
          <w:sz w:val="22"/>
          <w:szCs w:val="22"/>
        </w:rPr>
        <w:t>________________</w:t>
      </w:r>
    </w:p>
    <w:p w:rsidR="00D6101D" w:rsidRPr="00DC1A5F" w:rsidRDefault="00D6101D" w:rsidP="00D6101D">
      <w:pPr>
        <w:pStyle w:val="BodyText"/>
        <w:jc w:val="both"/>
        <w:rPr>
          <w:rFonts w:cs="Arial"/>
          <w:sz w:val="22"/>
          <w:szCs w:val="22"/>
        </w:rPr>
      </w:pPr>
      <w:r w:rsidRPr="00DC1A5F">
        <w:rPr>
          <w:rFonts w:cs="Arial"/>
          <w:sz w:val="22"/>
          <w:szCs w:val="22"/>
        </w:rPr>
        <w:t>Signed</w:t>
      </w:r>
    </w:p>
    <w:p w:rsidR="00D6101D" w:rsidRPr="00DC1A5F" w:rsidRDefault="00D6101D" w:rsidP="00D6101D">
      <w:pPr>
        <w:pStyle w:val="BodyText"/>
        <w:jc w:val="both"/>
        <w:rPr>
          <w:rFonts w:cs="Arial"/>
          <w:sz w:val="22"/>
          <w:szCs w:val="22"/>
        </w:rPr>
      </w:pPr>
      <w:r w:rsidRPr="00DC1A5F">
        <w:rPr>
          <w:rFonts w:cs="Arial"/>
          <w:sz w:val="22"/>
          <w:szCs w:val="22"/>
        </w:rPr>
        <w:t>Board chairperson</w:t>
      </w:r>
    </w:p>
    <w:p w:rsidR="00D6101D" w:rsidRPr="00DC1A5F" w:rsidRDefault="00D6101D" w:rsidP="00D6101D">
      <w:pPr>
        <w:pStyle w:val="BodyText"/>
        <w:jc w:val="both"/>
        <w:rPr>
          <w:rFonts w:cs="Arial"/>
          <w:sz w:val="22"/>
          <w:szCs w:val="22"/>
        </w:rPr>
      </w:pPr>
      <w:r w:rsidRPr="00DC1A5F">
        <w:rPr>
          <w:rFonts w:cs="Arial"/>
          <w:sz w:val="22"/>
          <w:szCs w:val="22"/>
        </w:rPr>
        <w:t>On behalf of, and with the authority of, the Board on _________________</w:t>
      </w:r>
    </w:p>
    <w:p w:rsidR="00C052CD" w:rsidRDefault="00C052CD"/>
    <w:sectPr w:rsidR="00C0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B08B4"/>
    <w:multiLevelType w:val="multilevel"/>
    <w:tmpl w:val="E36A1F26"/>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1D"/>
    <w:rsid w:val="0097376B"/>
    <w:rsid w:val="00C052CD"/>
    <w:rsid w:val="00D610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77899-A5DF-499C-881F-5CC9AFD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1D"/>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01D"/>
    <w:pPr>
      <w:spacing w:before="60" w:after="220" w:line="280" w:lineRule="exact"/>
    </w:pPr>
    <w:rPr>
      <w:sz w:val="24"/>
      <w:szCs w:val="20"/>
      <w:lang w:val="x-none"/>
    </w:rPr>
  </w:style>
  <w:style w:type="character" w:customStyle="1" w:styleId="BodyTextChar">
    <w:name w:val="Body Text Char"/>
    <w:basedOn w:val="DefaultParagraphFont"/>
    <w:link w:val="BodyText"/>
    <w:rsid w:val="00D6101D"/>
    <w:rPr>
      <w:rFonts w:ascii="Arial" w:eastAsia="Times New Roman" w:hAnsi="Arial" w:cs="Times New Roman"/>
      <w:sz w:val="24"/>
      <w:szCs w:val="20"/>
      <w:lang w:val="x-none"/>
    </w:rPr>
  </w:style>
  <w:style w:type="paragraph" w:styleId="NormalWeb">
    <w:name w:val="Normal (Web)"/>
    <w:basedOn w:val="Normal"/>
    <w:uiPriority w:val="99"/>
    <w:rsid w:val="00D6101D"/>
    <w:pPr>
      <w:spacing w:before="100" w:beforeAutospacing="1" w:after="100" w:afterAutospacing="1"/>
    </w:pPr>
    <w:rPr>
      <w:rFonts w:ascii="Times New Roman" w:hAnsi="Times New Roman"/>
      <w:lang w:eastAsia="en-NZ"/>
    </w:rPr>
  </w:style>
  <w:style w:type="paragraph" w:customStyle="1" w:styleId="NormalText">
    <w:name w:val="Normal Text"/>
    <w:rsid w:val="00D6101D"/>
    <w:pPr>
      <w:widowControl w:val="0"/>
      <w:autoSpaceDE w:val="0"/>
      <w:autoSpaceDN w:val="0"/>
      <w:adjustRightInd w:val="0"/>
      <w:spacing w:after="141" w:line="240" w:lineRule="auto"/>
      <w:ind w:left="283"/>
    </w:pPr>
    <w:rPr>
      <w:rFonts w:ascii="Arial" w:eastAsia="Times New Roman" w:hAnsi="Arial" w:cs="Arial"/>
      <w:color w:val="000000"/>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Jessica Donaldson</cp:lastModifiedBy>
  <cp:revision>2</cp:revision>
  <dcterms:created xsi:type="dcterms:W3CDTF">2020-10-04T22:32:00Z</dcterms:created>
  <dcterms:modified xsi:type="dcterms:W3CDTF">2020-10-04T23:09:00Z</dcterms:modified>
</cp:coreProperties>
</file>