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E276" w14:textId="1E1E0430" w:rsidR="0017157A" w:rsidRPr="0017157A" w:rsidRDefault="0017157A" w:rsidP="0017157A">
      <w:pPr>
        <w:pStyle w:val="Heading1"/>
        <w:rPr>
          <w:color w:val="auto"/>
        </w:rPr>
      </w:pPr>
      <w:r w:rsidRPr="0017157A">
        <w:rPr>
          <w:color w:val="auto"/>
        </w:rPr>
        <w:t>Ministry of Education and Initial Teacher Education Hui 3:</w:t>
      </w:r>
    </w:p>
    <w:p w14:paraId="009369ED" w14:textId="60E05FBE" w:rsidR="0017157A" w:rsidRDefault="0017157A" w:rsidP="0017157A">
      <w:r>
        <w:t>Big change ideas, 30 November 2022 Summar</w:t>
      </w:r>
      <w:r w:rsidR="007E38C5">
        <w:t xml:space="preserve">y </w:t>
      </w:r>
    </w:p>
    <w:p w14:paraId="2B8DECB2" w14:textId="7EBE3EE7" w:rsidR="0017157A" w:rsidRPr="0017157A" w:rsidRDefault="0017157A" w:rsidP="0017157A"/>
    <w:p w14:paraId="638026BE" w14:textId="79EBAD26" w:rsidR="0017157A" w:rsidRPr="0017157A" w:rsidRDefault="0017157A" w:rsidP="0017157A">
      <w:pPr>
        <w:pStyle w:val="Heading2"/>
        <w:rPr>
          <w:color w:val="auto"/>
        </w:rPr>
      </w:pPr>
      <w:r w:rsidRPr="0017157A">
        <w:rPr>
          <w:color w:val="auto"/>
        </w:rPr>
        <w:t>Hui focus</w:t>
      </w:r>
    </w:p>
    <w:p w14:paraId="50C12FE8" w14:textId="17A0F395" w:rsidR="0017157A" w:rsidRDefault="0017157A" w:rsidP="0017157A">
      <w:pPr>
        <w:rPr>
          <w:rFonts w:ascii="Calibri" w:hAnsi="Calibri" w:cs="Calibri"/>
          <w:lang w:val="en-AU"/>
        </w:rPr>
      </w:pPr>
      <w:r w:rsidRPr="164AC753">
        <w:rPr>
          <w:rFonts w:ascii="Calibri" w:hAnsi="Calibri" w:cs="Calibri"/>
          <w:lang w:val="en-AU"/>
        </w:rPr>
        <w:t xml:space="preserve">The third online hui for 2022 included an introductory overview of the </w:t>
      </w:r>
      <w:r>
        <w:rPr>
          <w:rFonts w:ascii="Calibri" w:hAnsi="Calibri" w:cs="Calibri"/>
          <w:lang w:val="en-AU"/>
        </w:rPr>
        <w:t>b</w:t>
      </w:r>
      <w:r w:rsidRPr="164AC753">
        <w:rPr>
          <w:rFonts w:ascii="Calibri" w:hAnsi="Calibri" w:cs="Calibri"/>
          <w:lang w:val="en-AU"/>
        </w:rPr>
        <w:t xml:space="preserve">ig </w:t>
      </w:r>
      <w:r>
        <w:rPr>
          <w:rFonts w:ascii="Calibri" w:hAnsi="Calibri" w:cs="Calibri"/>
          <w:lang w:val="en-AU"/>
        </w:rPr>
        <w:t>c</w:t>
      </w:r>
      <w:r w:rsidRPr="164AC753">
        <w:rPr>
          <w:rFonts w:ascii="Calibri" w:hAnsi="Calibri" w:cs="Calibri"/>
          <w:lang w:val="en-AU"/>
        </w:rPr>
        <w:t xml:space="preserve">hange </w:t>
      </w:r>
      <w:r>
        <w:rPr>
          <w:rFonts w:ascii="Calibri" w:hAnsi="Calibri" w:cs="Calibri"/>
          <w:lang w:val="en-AU"/>
        </w:rPr>
        <w:t>i</w:t>
      </w:r>
      <w:r w:rsidRPr="164AC753">
        <w:rPr>
          <w:rFonts w:ascii="Calibri" w:hAnsi="Calibri" w:cs="Calibri"/>
          <w:lang w:val="en-AU"/>
        </w:rPr>
        <w:t xml:space="preserve">deas to </w:t>
      </w:r>
      <w:r w:rsidRPr="164AC753">
        <w:rPr>
          <w:rFonts w:ascii="Calibri" w:hAnsi="Calibri" w:cs="Calibri"/>
          <w:i/>
          <w:iCs/>
          <w:lang w:val="en-AU"/>
        </w:rPr>
        <w:t>Te Marautanga o Aotearoa</w:t>
      </w:r>
      <w:r w:rsidRPr="164AC753">
        <w:rPr>
          <w:rFonts w:ascii="Calibri" w:hAnsi="Calibri" w:cs="Calibri"/>
          <w:lang w:val="en-AU"/>
        </w:rPr>
        <w:t xml:space="preserve">, an overview of the changes in the refresh of </w:t>
      </w:r>
      <w:r w:rsidRPr="164AC753">
        <w:rPr>
          <w:rFonts w:ascii="Calibri" w:hAnsi="Calibri" w:cs="Calibri"/>
          <w:i/>
          <w:iCs/>
          <w:lang w:val="en-AU"/>
        </w:rPr>
        <w:t>The New Zealand Curriculum</w:t>
      </w:r>
      <w:r w:rsidRPr="164AC753">
        <w:rPr>
          <w:rFonts w:ascii="Calibri" w:hAnsi="Calibri" w:cs="Calibri"/>
          <w:lang w:val="en-AU"/>
        </w:rPr>
        <w:t xml:space="preserve"> (NZC)</w:t>
      </w:r>
      <w:r>
        <w:rPr>
          <w:rFonts w:ascii="Calibri" w:hAnsi="Calibri" w:cs="Calibri"/>
          <w:lang w:val="en-AU"/>
        </w:rPr>
        <w:t xml:space="preserve"> </w:t>
      </w:r>
      <w:r w:rsidRPr="164AC753">
        <w:rPr>
          <w:rFonts w:ascii="Calibri" w:hAnsi="Calibri" w:cs="Calibri"/>
          <w:lang w:val="en-AU"/>
        </w:rPr>
        <w:t xml:space="preserve">for English, more about the </w:t>
      </w:r>
      <w:r w:rsidRPr="164AC753">
        <w:rPr>
          <w:rFonts w:ascii="Calibri" w:hAnsi="Calibri" w:cs="Calibri"/>
          <w:i/>
          <w:iCs/>
          <w:lang w:val="en-AU"/>
        </w:rPr>
        <w:t>Literacy &amp; Communication and Maths Strategy</w:t>
      </w:r>
      <w:r w:rsidR="007E38C5">
        <w:rPr>
          <w:rFonts w:ascii="Calibri" w:hAnsi="Calibri" w:cs="Calibri"/>
          <w:i/>
          <w:iCs/>
          <w:lang w:val="en-AU"/>
        </w:rPr>
        <w:t>,</w:t>
      </w:r>
      <w:r w:rsidRPr="164AC753">
        <w:rPr>
          <w:rFonts w:ascii="Calibri" w:hAnsi="Calibri" w:cs="Calibri"/>
          <w:lang w:val="en-AU"/>
        </w:rPr>
        <w:t xml:space="preserve"> as well as overview of the Common Practice Model.</w:t>
      </w:r>
    </w:p>
    <w:p w14:paraId="740BD09A" w14:textId="1AC5DEC8" w:rsidR="0017157A" w:rsidRPr="007E38C5" w:rsidRDefault="0017157A" w:rsidP="007E38C5">
      <w:pPr>
        <w:pStyle w:val="Heading2"/>
        <w:rPr>
          <w:color w:val="auto"/>
          <w:lang w:val="en-AU"/>
        </w:rPr>
      </w:pPr>
      <w:r w:rsidRPr="0017157A">
        <w:rPr>
          <w:color w:val="auto"/>
          <w:lang w:val="en-AU"/>
        </w:rPr>
        <w:t xml:space="preserve">Post hui session overview  </w:t>
      </w:r>
    </w:p>
    <w:p w14:paraId="57CE199F" w14:textId="6B2E10F9" w:rsidR="0017157A" w:rsidRDefault="0017157A" w:rsidP="0017157A">
      <w:pPr>
        <w:pStyle w:val="Heading3"/>
        <w:rPr>
          <w:color w:val="auto"/>
          <w:lang w:val="en-AU"/>
        </w:rPr>
      </w:pPr>
      <w:r w:rsidRPr="0017157A">
        <w:rPr>
          <w:color w:val="auto"/>
          <w:lang w:val="en-AU"/>
        </w:rPr>
        <w:t>Session 1</w:t>
      </w:r>
    </w:p>
    <w:p w14:paraId="614E1139" w14:textId="0959792E" w:rsidR="0017157A" w:rsidRDefault="0017157A" w:rsidP="0017157A">
      <w:pPr>
        <w:rPr>
          <w:lang w:val="en-AU"/>
        </w:rPr>
      </w:pPr>
      <w:r>
        <w:rPr>
          <w:lang w:val="en-AU"/>
        </w:rPr>
        <w:t xml:space="preserve">Big change ideas to </w:t>
      </w:r>
      <w:r w:rsidRPr="00CB3686">
        <w:rPr>
          <w:i/>
          <w:iCs/>
          <w:lang w:val="en-AU"/>
        </w:rPr>
        <w:t>Te Marautanga o Aotearoa</w:t>
      </w:r>
      <w:r>
        <w:rPr>
          <w:lang w:val="en-AU"/>
        </w:rPr>
        <w:t xml:space="preserve"> </w:t>
      </w:r>
    </w:p>
    <w:p w14:paraId="488A882B" w14:textId="7FDE20C2" w:rsidR="0017157A" w:rsidRPr="0017157A" w:rsidRDefault="0017157A" w:rsidP="0017157A">
      <w:pPr>
        <w:rPr>
          <w:lang w:val="en-AU"/>
        </w:rPr>
      </w:pPr>
      <w:r w:rsidRPr="0017157A">
        <w:rPr>
          <w:i/>
          <w:iCs/>
          <w:lang w:val="en-AU"/>
        </w:rPr>
        <w:t>Presenter</w:t>
      </w:r>
    </w:p>
    <w:p w14:paraId="5C5A3A81" w14:textId="77777777" w:rsidR="0017157A" w:rsidRPr="0017157A" w:rsidRDefault="0017157A" w:rsidP="0017157A">
      <w:pPr>
        <w:rPr>
          <w:rFonts w:ascii="Calibri" w:hAnsi="Calibri" w:cs="Calibri"/>
          <w:i/>
          <w:iCs/>
          <w:lang w:val="en-AU"/>
        </w:rPr>
      </w:pPr>
      <w:r w:rsidRPr="0017157A">
        <w:rPr>
          <w:rFonts w:ascii="Calibri" w:hAnsi="Calibri" w:cs="Calibri"/>
          <w:i/>
          <w:iCs/>
          <w:lang w:val="en-AU"/>
        </w:rPr>
        <w:t xml:space="preserve">Mandy Bird </w:t>
      </w:r>
    </w:p>
    <w:p w14:paraId="0C835131" w14:textId="2941D956" w:rsidR="0017157A" w:rsidRPr="0017157A" w:rsidRDefault="0017157A" w:rsidP="0017157A">
      <w:pPr>
        <w:rPr>
          <w:rFonts w:ascii="Calibri" w:hAnsi="Calibri" w:cs="Calibri"/>
          <w:i/>
          <w:iCs/>
          <w:lang w:val="en-AU"/>
        </w:rPr>
      </w:pPr>
      <w:r w:rsidRPr="0017157A">
        <w:rPr>
          <w:rFonts w:ascii="Calibri" w:hAnsi="Calibri" w:cs="Calibri"/>
          <w:i/>
          <w:iCs/>
          <w:lang w:val="en-AU"/>
        </w:rPr>
        <w:t xml:space="preserve">Senior Manager </w:t>
      </w:r>
    </w:p>
    <w:p w14:paraId="29D9956C" w14:textId="77777777" w:rsidR="0017157A" w:rsidRPr="0017157A" w:rsidRDefault="0017157A" w:rsidP="0017157A">
      <w:pPr>
        <w:rPr>
          <w:rFonts w:ascii="Calibri" w:hAnsi="Calibri" w:cs="Calibri"/>
          <w:i/>
          <w:iCs/>
          <w:lang w:val="en-AU"/>
        </w:rPr>
      </w:pPr>
      <w:r w:rsidRPr="0017157A">
        <w:rPr>
          <w:rFonts w:ascii="Calibri" w:hAnsi="Calibri" w:cs="Calibri"/>
          <w:i/>
          <w:iCs/>
          <w:lang w:val="en-AU"/>
        </w:rPr>
        <w:t xml:space="preserve">Te </w:t>
      </w:r>
      <w:proofErr w:type="spellStart"/>
      <w:r w:rsidRPr="0017157A">
        <w:rPr>
          <w:rFonts w:ascii="Calibri" w:hAnsi="Calibri" w:cs="Calibri"/>
          <w:i/>
          <w:iCs/>
          <w:lang w:val="en-AU"/>
        </w:rPr>
        <w:t>Uepū</w:t>
      </w:r>
      <w:proofErr w:type="spellEnd"/>
      <w:r w:rsidRPr="0017157A">
        <w:rPr>
          <w:rFonts w:ascii="Calibri" w:hAnsi="Calibri" w:cs="Calibri"/>
          <w:i/>
          <w:iCs/>
          <w:lang w:val="en-AU"/>
        </w:rPr>
        <w:t xml:space="preserve"> Reo Māori</w:t>
      </w:r>
    </w:p>
    <w:p w14:paraId="5E3B73E2" w14:textId="69A43C4B" w:rsidR="0017157A" w:rsidRPr="0017157A" w:rsidRDefault="0017157A" w:rsidP="0017157A">
      <w:pPr>
        <w:rPr>
          <w:rFonts w:ascii="Calibri" w:hAnsi="Calibri" w:cs="Calibri"/>
          <w:i/>
          <w:iCs/>
          <w:lang w:val="en-AU"/>
        </w:rPr>
      </w:pPr>
      <w:r w:rsidRPr="0017157A">
        <w:rPr>
          <w:rFonts w:ascii="Calibri" w:hAnsi="Calibri" w:cs="Calibri"/>
          <w:i/>
          <w:iCs/>
          <w:lang w:val="en-AU"/>
        </w:rPr>
        <w:t xml:space="preserve">Te </w:t>
      </w:r>
      <w:proofErr w:type="spellStart"/>
      <w:r w:rsidRPr="0017157A">
        <w:rPr>
          <w:rFonts w:ascii="Calibri" w:hAnsi="Calibri" w:cs="Calibri"/>
          <w:i/>
          <w:iCs/>
          <w:lang w:val="en-AU"/>
        </w:rPr>
        <w:t>Tāhuhu</w:t>
      </w:r>
      <w:proofErr w:type="spellEnd"/>
      <w:r w:rsidRPr="0017157A">
        <w:rPr>
          <w:rFonts w:ascii="Calibri" w:hAnsi="Calibri" w:cs="Calibri"/>
          <w:i/>
          <w:iCs/>
          <w:lang w:val="en-AU"/>
        </w:rPr>
        <w:t xml:space="preserve"> o </w:t>
      </w:r>
      <w:proofErr w:type="spellStart"/>
      <w:r w:rsidRPr="0017157A">
        <w:rPr>
          <w:rFonts w:ascii="Calibri" w:hAnsi="Calibri" w:cs="Calibri"/>
          <w:i/>
          <w:iCs/>
          <w:lang w:val="en-AU"/>
        </w:rPr>
        <w:t>te</w:t>
      </w:r>
      <w:proofErr w:type="spellEnd"/>
      <w:r w:rsidRPr="0017157A">
        <w:rPr>
          <w:rFonts w:ascii="Calibri" w:hAnsi="Calibri" w:cs="Calibri"/>
          <w:i/>
          <w:iCs/>
          <w:lang w:val="en-AU"/>
        </w:rPr>
        <w:t xml:space="preserve"> </w:t>
      </w:r>
      <w:proofErr w:type="spellStart"/>
      <w:r w:rsidRPr="0017157A">
        <w:rPr>
          <w:rFonts w:ascii="Calibri" w:hAnsi="Calibri" w:cs="Calibri"/>
          <w:i/>
          <w:iCs/>
          <w:lang w:val="en-AU"/>
        </w:rPr>
        <w:t>Mātauranga</w:t>
      </w:r>
      <w:proofErr w:type="spellEnd"/>
    </w:p>
    <w:p w14:paraId="3C30CAA8" w14:textId="6B2B7E45" w:rsidR="0017157A" w:rsidRDefault="0017157A" w:rsidP="0017157A">
      <w:pPr>
        <w:rPr>
          <w:rFonts w:ascii="Calibri" w:hAnsi="Calibri" w:cs="Calibri"/>
          <w:lang w:val="en-AU"/>
        </w:rPr>
      </w:pPr>
      <w:r w:rsidRPr="00F401F2">
        <w:rPr>
          <w:rFonts w:ascii="Calibri" w:hAnsi="Calibri" w:cs="Calibri"/>
          <w:lang w:val="en-AU"/>
        </w:rPr>
        <w:t xml:space="preserve">Session 1 </w:t>
      </w:r>
      <w:r w:rsidRPr="00AC0187">
        <w:rPr>
          <w:rFonts w:ascii="Calibri" w:hAnsi="Calibri" w:cs="Calibri"/>
          <w:lang w:val="en-AU"/>
        </w:rPr>
        <w:t xml:space="preserve">provided an overview of the </w:t>
      </w:r>
      <w:r>
        <w:rPr>
          <w:rFonts w:ascii="Calibri" w:hAnsi="Calibri" w:cs="Calibri"/>
          <w:lang w:val="en-AU"/>
        </w:rPr>
        <w:t>b</w:t>
      </w:r>
      <w:r w:rsidRPr="00AC0187">
        <w:rPr>
          <w:rFonts w:ascii="Calibri" w:hAnsi="Calibri" w:cs="Calibri"/>
          <w:lang w:val="en-AU"/>
        </w:rPr>
        <w:t xml:space="preserve">ig </w:t>
      </w:r>
      <w:r>
        <w:rPr>
          <w:rFonts w:ascii="Calibri" w:hAnsi="Calibri" w:cs="Calibri"/>
          <w:lang w:val="en-AU"/>
        </w:rPr>
        <w:t>c</w:t>
      </w:r>
      <w:r w:rsidRPr="00AC0187">
        <w:rPr>
          <w:rFonts w:ascii="Calibri" w:hAnsi="Calibri" w:cs="Calibri"/>
          <w:lang w:val="en-AU"/>
        </w:rPr>
        <w:t xml:space="preserve">hange </w:t>
      </w:r>
      <w:r>
        <w:rPr>
          <w:rFonts w:ascii="Calibri" w:hAnsi="Calibri" w:cs="Calibri"/>
          <w:lang w:val="en-AU"/>
        </w:rPr>
        <w:t>i</w:t>
      </w:r>
      <w:r w:rsidRPr="00AC0187">
        <w:rPr>
          <w:rFonts w:ascii="Calibri" w:hAnsi="Calibri" w:cs="Calibri"/>
          <w:lang w:val="en-AU"/>
        </w:rPr>
        <w:t xml:space="preserve">deas happening with </w:t>
      </w:r>
      <w:r w:rsidRPr="002F4E10">
        <w:rPr>
          <w:rFonts w:ascii="Calibri" w:hAnsi="Calibri" w:cs="Calibri"/>
          <w:i/>
          <w:iCs/>
          <w:lang w:val="en-AU"/>
        </w:rPr>
        <w:t>Te Marautanga o Aotearoa</w:t>
      </w:r>
      <w:r>
        <w:rPr>
          <w:rFonts w:ascii="Calibri" w:hAnsi="Calibri" w:cs="Calibri"/>
          <w:lang w:val="en-AU"/>
        </w:rPr>
        <w:t>.</w:t>
      </w:r>
    </w:p>
    <w:p w14:paraId="36DB75C2" w14:textId="77777777" w:rsidR="0017157A" w:rsidRPr="003E529F" w:rsidRDefault="0017157A" w:rsidP="0017157A">
      <w:pPr>
        <w:rPr>
          <w:rFonts w:ascii="Calibri" w:hAnsi="Calibri" w:cs="Calibri"/>
          <w:lang w:val="en-AU"/>
        </w:rPr>
      </w:pPr>
      <w:r w:rsidRPr="003E529F">
        <w:rPr>
          <w:rFonts w:ascii="Calibri" w:hAnsi="Calibri" w:cs="Calibri"/>
          <w:lang w:val="en-AU"/>
        </w:rPr>
        <w:t xml:space="preserve">Mandy Bird presented an overview of the redesign of </w:t>
      </w:r>
      <w:r w:rsidRPr="002F4E10">
        <w:rPr>
          <w:rFonts w:ascii="Calibri" w:hAnsi="Calibri" w:cs="Calibri"/>
          <w:i/>
          <w:iCs/>
          <w:lang w:val="en-AU"/>
        </w:rPr>
        <w:t>Te Marautanga o Aotearoa</w:t>
      </w:r>
      <w:r>
        <w:rPr>
          <w:rFonts w:ascii="Calibri" w:hAnsi="Calibri" w:cs="Calibri"/>
          <w:lang w:val="en-AU"/>
        </w:rPr>
        <w:t xml:space="preserve">, </w:t>
      </w:r>
      <w:r w:rsidRPr="003E529F">
        <w:rPr>
          <w:rFonts w:ascii="Calibri" w:hAnsi="Calibri" w:cs="Calibri"/>
          <w:lang w:val="en-AU"/>
        </w:rPr>
        <w:t xml:space="preserve">including the whakapapa and the significance of the redesign. Based on the conceptual framework </w:t>
      </w:r>
      <w:r w:rsidRPr="002F4E10">
        <w:rPr>
          <w:rFonts w:ascii="Calibri" w:hAnsi="Calibri" w:cs="Calibri"/>
          <w:i/>
          <w:iCs/>
          <w:lang w:val="en-AU"/>
        </w:rPr>
        <w:t xml:space="preserve">He </w:t>
      </w:r>
      <w:proofErr w:type="spellStart"/>
      <w:r w:rsidRPr="002F4E10">
        <w:rPr>
          <w:rFonts w:ascii="Calibri" w:hAnsi="Calibri" w:cs="Calibri"/>
          <w:i/>
          <w:iCs/>
          <w:lang w:val="en-AU"/>
        </w:rPr>
        <w:t>Tamaiti</w:t>
      </w:r>
      <w:proofErr w:type="spellEnd"/>
      <w:r w:rsidRPr="002F4E10">
        <w:rPr>
          <w:rFonts w:ascii="Calibri" w:hAnsi="Calibri" w:cs="Calibri"/>
          <w:i/>
          <w:iCs/>
          <w:lang w:val="en-AU"/>
        </w:rPr>
        <w:t xml:space="preserve"> </w:t>
      </w:r>
      <w:proofErr w:type="spellStart"/>
      <w:r w:rsidRPr="002F4E10">
        <w:rPr>
          <w:rFonts w:ascii="Calibri" w:hAnsi="Calibri" w:cs="Calibri"/>
          <w:i/>
          <w:iCs/>
          <w:lang w:val="en-AU"/>
        </w:rPr>
        <w:t>Hei</w:t>
      </w:r>
      <w:proofErr w:type="spellEnd"/>
      <w:r w:rsidRPr="002F4E10">
        <w:rPr>
          <w:rFonts w:ascii="Calibri" w:hAnsi="Calibri" w:cs="Calibri"/>
          <w:i/>
          <w:iCs/>
          <w:lang w:val="en-AU"/>
        </w:rPr>
        <w:t xml:space="preserve"> </w:t>
      </w:r>
      <w:proofErr w:type="spellStart"/>
      <w:r w:rsidRPr="002F4E10">
        <w:rPr>
          <w:rFonts w:ascii="Calibri" w:hAnsi="Calibri" w:cs="Calibri"/>
          <w:i/>
          <w:iCs/>
          <w:lang w:val="en-AU"/>
        </w:rPr>
        <w:t>Raukura</w:t>
      </w:r>
      <w:proofErr w:type="spellEnd"/>
      <w:r w:rsidRPr="003E529F">
        <w:rPr>
          <w:rFonts w:ascii="Calibri" w:hAnsi="Calibri" w:cs="Calibri"/>
          <w:lang w:val="en-AU"/>
        </w:rPr>
        <w:t xml:space="preserve">, the redesigned </w:t>
      </w:r>
      <w:r w:rsidRPr="002F4E10">
        <w:rPr>
          <w:rFonts w:ascii="Calibri" w:hAnsi="Calibri" w:cs="Calibri"/>
          <w:i/>
          <w:iCs/>
          <w:lang w:val="en-AU"/>
        </w:rPr>
        <w:t>Te Marautanga o Aotearoa</w:t>
      </w:r>
      <w:r w:rsidRPr="003E529F">
        <w:rPr>
          <w:rFonts w:ascii="Calibri" w:hAnsi="Calibri" w:cs="Calibri"/>
          <w:lang w:val="en-AU"/>
        </w:rPr>
        <w:t xml:space="preserve"> will create a curriculum that stems from a Māori worldview</w:t>
      </w:r>
      <w:r>
        <w:rPr>
          <w:rFonts w:ascii="Calibri" w:hAnsi="Calibri" w:cs="Calibri"/>
          <w:lang w:val="en-AU"/>
        </w:rPr>
        <w:t>,</w:t>
      </w:r>
      <w:r w:rsidRPr="003E529F">
        <w:rPr>
          <w:rFonts w:ascii="Calibri" w:hAnsi="Calibri" w:cs="Calibri"/>
          <w:lang w:val="en-AU"/>
        </w:rPr>
        <w:t xml:space="preserve"> reflect</w:t>
      </w:r>
      <w:r>
        <w:rPr>
          <w:rFonts w:ascii="Calibri" w:hAnsi="Calibri" w:cs="Calibri"/>
          <w:lang w:val="en-AU"/>
        </w:rPr>
        <w:t>ing</w:t>
      </w:r>
      <w:r w:rsidRPr="003E529F">
        <w:rPr>
          <w:rFonts w:ascii="Calibri" w:hAnsi="Calibri" w:cs="Calibri"/>
          <w:lang w:val="en-AU"/>
        </w:rPr>
        <w:t xml:space="preserve"> Māori values and what whānau want for their </w:t>
      </w:r>
      <w:proofErr w:type="spellStart"/>
      <w:r w:rsidRPr="003E529F">
        <w:rPr>
          <w:rFonts w:ascii="Calibri" w:hAnsi="Calibri" w:cs="Calibri"/>
          <w:lang w:val="en-AU"/>
        </w:rPr>
        <w:t>tamariki</w:t>
      </w:r>
      <w:proofErr w:type="spellEnd"/>
      <w:r w:rsidRPr="003E529F">
        <w:rPr>
          <w:rFonts w:ascii="Calibri" w:hAnsi="Calibri" w:cs="Calibri"/>
          <w:lang w:val="en-AU"/>
        </w:rPr>
        <w:t xml:space="preserve"> as Māori and global citizens. Ākonga are at the fore</w:t>
      </w:r>
      <w:r>
        <w:rPr>
          <w:rFonts w:ascii="Calibri" w:hAnsi="Calibri" w:cs="Calibri"/>
          <w:lang w:val="en-AU"/>
        </w:rPr>
        <w:t>front</w:t>
      </w:r>
      <w:r w:rsidRPr="003E529F">
        <w:rPr>
          <w:rFonts w:ascii="Calibri" w:hAnsi="Calibri" w:cs="Calibri"/>
          <w:lang w:val="en-AU"/>
        </w:rPr>
        <w:t xml:space="preserve"> of the redesign</w:t>
      </w:r>
      <w:r>
        <w:rPr>
          <w:rFonts w:ascii="Calibri" w:hAnsi="Calibri" w:cs="Calibri"/>
          <w:lang w:val="en-AU"/>
        </w:rPr>
        <w:t>,</w:t>
      </w:r>
      <w:r w:rsidRPr="003E529F">
        <w:rPr>
          <w:rFonts w:ascii="Calibri" w:hAnsi="Calibri" w:cs="Calibri"/>
          <w:lang w:val="en-AU"/>
        </w:rPr>
        <w:t xml:space="preserve"> which uncompromisingly adheres to the central position of the ākonga, their </w:t>
      </w:r>
      <w:proofErr w:type="spellStart"/>
      <w:r w:rsidRPr="003E529F">
        <w:rPr>
          <w:rFonts w:ascii="Calibri" w:hAnsi="Calibri" w:cs="Calibri"/>
          <w:lang w:val="en-AU"/>
        </w:rPr>
        <w:t>whānau</w:t>
      </w:r>
      <w:proofErr w:type="spellEnd"/>
      <w:r w:rsidRPr="003E529F">
        <w:rPr>
          <w:rFonts w:ascii="Calibri" w:hAnsi="Calibri" w:cs="Calibri"/>
          <w:lang w:val="en-AU"/>
        </w:rPr>
        <w:t xml:space="preserve">, </w:t>
      </w:r>
      <w:proofErr w:type="spellStart"/>
      <w:r w:rsidRPr="003E529F">
        <w:rPr>
          <w:rFonts w:ascii="Calibri" w:hAnsi="Calibri" w:cs="Calibri"/>
          <w:lang w:val="en-AU"/>
        </w:rPr>
        <w:t>hapū</w:t>
      </w:r>
      <w:proofErr w:type="spellEnd"/>
      <w:r>
        <w:rPr>
          <w:rFonts w:ascii="Calibri" w:hAnsi="Calibri" w:cs="Calibri"/>
          <w:lang w:val="en-AU"/>
        </w:rPr>
        <w:t>,</w:t>
      </w:r>
      <w:r w:rsidRPr="003E529F">
        <w:rPr>
          <w:rFonts w:ascii="Calibri" w:hAnsi="Calibri" w:cs="Calibri"/>
          <w:lang w:val="en-AU"/>
        </w:rPr>
        <w:t xml:space="preserve"> iwi</w:t>
      </w:r>
      <w:r w:rsidRPr="68E7E716">
        <w:rPr>
          <w:rFonts w:ascii="Calibri" w:hAnsi="Calibri" w:cs="Calibri"/>
          <w:lang w:val="en-AU"/>
        </w:rPr>
        <w:t>,</w:t>
      </w:r>
      <w:r w:rsidRPr="003E529F">
        <w:rPr>
          <w:rFonts w:ascii="Calibri" w:hAnsi="Calibri" w:cs="Calibri"/>
          <w:lang w:val="en-AU"/>
        </w:rPr>
        <w:t xml:space="preserve"> </w:t>
      </w:r>
      <w:proofErr w:type="spellStart"/>
      <w:r w:rsidRPr="003E529F">
        <w:rPr>
          <w:rFonts w:ascii="Calibri" w:hAnsi="Calibri" w:cs="Calibri"/>
          <w:lang w:val="en-AU"/>
        </w:rPr>
        <w:t>te</w:t>
      </w:r>
      <w:proofErr w:type="spellEnd"/>
      <w:r w:rsidRPr="003E529F">
        <w:rPr>
          <w:rFonts w:ascii="Calibri" w:hAnsi="Calibri" w:cs="Calibri"/>
          <w:lang w:val="en-AU"/>
        </w:rPr>
        <w:t xml:space="preserve"> reo and tikanga Māori. </w:t>
      </w:r>
    </w:p>
    <w:p w14:paraId="1C416E71" w14:textId="77777777" w:rsidR="0017157A" w:rsidRPr="003E529F" w:rsidRDefault="0017157A" w:rsidP="0017157A">
      <w:pPr>
        <w:pStyle w:val="xxmsonormal"/>
        <w:rPr>
          <w:rFonts w:eastAsiaTheme="minorEastAsia"/>
          <w:lang w:val="en-AU" w:eastAsia="en-US"/>
        </w:rPr>
      </w:pPr>
      <w:r w:rsidRPr="003E529F">
        <w:rPr>
          <w:rFonts w:eastAsiaTheme="minorEastAsia"/>
          <w:lang w:val="en-AU" w:eastAsia="en-US"/>
        </w:rPr>
        <w:t> </w:t>
      </w:r>
    </w:p>
    <w:p w14:paraId="1536AC29" w14:textId="77777777" w:rsidR="0017157A" w:rsidRPr="003E529F" w:rsidRDefault="0017157A" w:rsidP="0017157A">
      <w:pPr>
        <w:pStyle w:val="xxmsonormal"/>
        <w:rPr>
          <w:rFonts w:eastAsiaTheme="minorEastAsia"/>
          <w:lang w:val="en-AU" w:eastAsia="en-US"/>
        </w:rPr>
      </w:pPr>
      <w:r w:rsidRPr="003E529F">
        <w:rPr>
          <w:rFonts w:eastAsiaTheme="minorEastAsia"/>
          <w:lang w:val="en-AU" w:eastAsia="en-US"/>
        </w:rPr>
        <w:t xml:space="preserve">This overview included an introduction to Te </w:t>
      </w:r>
      <w:proofErr w:type="spellStart"/>
      <w:r w:rsidRPr="003E529F">
        <w:rPr>
          <w:rFonts w:eastAsiaTheme="minorEastAsia"/>
          <w:lang w:val="en-AU" w:eastAsia="en-US"/>
        </w:rPr>
        <w:t>Tīrewa</w:t>
      </w:r>
      <w:proofErr w:type="spellEnd"/>
      <w:r w:rsidRPr="003E529F">
        <w:rPr>
          <w:rFonts w:eastAsiaTheme="minorEastAsia"/>
          <w:lang w:val="en-AU" w:eastAsia="en-US"/>
        </w:rPr>
        <w:t xml:space="preserve"> Marautanga (</w:t>
      </w:r>
      <w:r>
        <w:rPr>
          <w:rFonts w:eastAsiaTheme="minorEastAsia"/>
          <w:lang w:val="en-AU" w:eastAsia="en-US"/>
        </w:rPr>
        <w:t>a proposed new N</w:t>
      </w:r>
      <w:r w:rsidRPr="003E529F">
        <w:rPr>
          <w:rFonts w:eastAsiaTheme="minorEastAsia"/>
          <w:lang w:val="en-AU" w:eastAsia="en-US"/>
        </w:rPr>
        <w:t xml:space="preserve">ational </w:t>
      </w:r>
      <w:r>
        <w:rPr>
          <w:rFonts w:eastAsiaTheme="minorEastAsia"/>
          <w:lang w:val="en-AU" w:eastAsia="en-US"/>
        </w:rPr>
        <w:t>C</w:t>
      </w:r>
      <w:r w:rsidRPr="003E529F">
        <w:rPr>
          <w:rFonts w:eastAsiaTheme="minorEastAsia"/>
          <w:lang w:val="en-AU" w:eastAsia="en-US"/>
        </w:rPr>
        <w:t xml:space="preserve">urriculum) and the elements that make up the complete </w:t>
      </w:r>
      <w:proofErr w:type="spellStart"/>
      <w:r w:rsidRPr="003E529F">
        <w:rPr>
          <w:rFonts w:eastAsiaTheme="minorEastAsia"/>
          <w:lang w:val="en-AU" w:eastAsia="en-US"/>
        </w:rPr>
        <w:t>Tīrewa</w:t>
      </w:r>
      <w:proofErr w:type="spellEnd"/>
      <w:r w:rsidRPr="003E529F">
        <w:rPr>
          <w:rFonts w:eastAsiaTheme="minorEastAsia"/>
          <w:lang w:val="en-AU" w:eastAsia="en-US"/>
        </w:rPr>
        <w:t xml:space="preserve">. In conjunction with the </w:t>
      </w:r>
      <w:proofErr w:type="spellStart"/>
      <w:r w:rsidRPr="003E529F">
        <w:rPr>
          <w:rFonts w:eastAsiaTheme="minorEastAsia"/>
          <w:lang w:val="en-AU" w:eastAsia="en-US"/>
        </w:rPr>
        <w:t>Tīrewa</w:t>
      </w:r>
      <w:proofErr w:type="spellEnd"/>
      <w:r w:rsidRPr="003E529F">
        <w:rPr>
          <w:rFonts w:eastAsiaTheme="minorEastAsia"/>
          <w:lang w:val="en-AU" w:eastAsia="en-US"/>
        </w:rPr>
        <w:t xml:space="preserve">, and as an integral part of </w:t>
      </w:r>
      <w:r>
        <w:rPr>
          <w:rFonts w:eastAsiaTheme="minorEastAsia"/>
          <w:lang w:val="en-AU" w:eastAsia="en-US"/>
        </w:rPr>
        <w:t>it</w:t>
      </w:r>
      <w:r w:rsidRPr="003E529F">
        <w:rPr>
          <w:rFonts w:eastAsiaTheme="minorEastAsia"/>
          <w:lang w:val="en-AU" w:eastAsia="en-US"/>
        </w:rPr>
        <w:t xml:space="preserve">, the four </w:t>
      </w:r>
      <w:proofErr w:type="spellStart"/>
      <w:r w:rsidRPr="003E529F">
        <w:rPr>
          <w:rFonts w:eastAsiaTheme="minorEastAsia"/>
          <w:lang w:val="en-AU" w:eastAsia="en-US"/>
        </w:rPr>
        <w:t>Pou</w:t>
      </w:r>
      <w:proofErr w:type="spellEnd"/>
      <w:r w:rsidRPr="003E529F">
        <w:rPr>
          <w:rFonts w:eastAsiaTheme="minorEastAsia"/>
          <w:lang w:val="en-AU" w:eastAsia="en-US"/>
        </w:rPr>
        <w:t xml:space="preserve"> were explained. These were described as the competencies required to position ākonga positively for their future as contributors to their own </w:t>
      </w:r>
      <w:proofErr w:type="spellStart"/>
      <w:r w:rsidRPr="003E529F">
        <w:rPr>
          <w:rFonts w:eastAsiaTheme="minorEastAsia"/>
          <w:lang w:val="en-AU" w:eastAsia="en-US"/>
        </w:rPr>
        <w:t>whānau</w:t>
      </w:r>
      <w:proofErr w:type="spellEnd"/>
      <w:r w:rsidRPr="003E529F">
        <w:rPr>
          <w:rFonts w:eastAsiaTheme="minorEastAsia"/>
          <w:lang w:val="en-AU" w:eastAsia="en-US"/>
        </w:rPr>
        <w:t xml:space="preserve">, </w:t>
      </w:r>
      <w:proofErr w:type="spellStart"/>
      <w:r w:rsidRPr="003E529F">
        <w:rPr>
          <w:rFonts w:eastAsiaTheme="minorEastAsia"/>
          <w:lang w:val="en-AU" w:eastAsia="en-US"/>
        </w:rPr>
        <w:t>hapū</w:t>
      </w:r>
      <w:proofErr w:type="spellEnd"/>
      <w:r>
        <w:rPr>
          <w:rFonts w:eastAsiaTheme="minorEastAsia"/>
          <w:lang w:val="en-AU" w:eastAsia="en-US"/>
        </w:rPr>
        <w:t>,</w:t>
      </w:r>
      <w:r w:rsidRPr="003E529F">
        <w:rPr>
          <w:rFonts w:eastAsiaTheme="minorEastAsia"/>
          <w:lang w:val="en-AU" w:eastAsia="en-US"/>
        </w:rPr>
        <w:t xml:space="preserve"> iwi</w:t>
      </w:r>
      <w:r>
        <w:rPr>
          <w:rFonts w:eastAsiaTheme="minorEastAsia"/>
          <w:lang w:val="en-AU" w:eastAsia="en-US"/>
        </w:rPr>
        <w:t>,</w:t>
      </w:r>
      <w:r w:rsidRPr="003E529F">
        <w:rPr>
          <w:rFonts w:eastAsiaTheme="minorEastAsia"/>
          <w:lang w:val="en-AU" w:eastAsia="en-US"/>
        </w:rPr>
        <w:t xml:space="preserve"> </w:t>
      </w:r>
      <w:r>
        <w:rPr>
          <w:rFonts w:eastAsiaTheme="minorEastAsia"/>
          <w:lang w:val="en-AU" w:eastAsia="en-US"/>
        </w:rPr>
        <w:t xml:space="preserve">and the </w:t>
      </w:r>
      <w:r w:rsidRPr="003E529F">
        <w:rPr>
          <w:rFonts w:eastAsiaTheme="minorEastAsia"/>
          <w:lang w:val="en-AU" w:eastAsia="en-US"/>
        </w:rPr>
        <w:t xml:space="preserve">world. </w:t>
      </w:r>
    </w:p>
    <w:p w14:paraId="6D7762D4" w14:textId="77777777" w:rsidR="0017157A" w:rsidRPr="003E529F" w:rsidRDefault="0017157A" w:rsidP="0017157A">
      <w:pPr>
        <w:pStyle w:val="xxmsonormal"/>
        <w:rPr>
          <w:rFonts w:eastAsiaTheme="minorEastAsia"/>
          <w:lang w:val="en-AU" w:eastAsia="en-US"/>
        </w:rPr>
      </w:pPr>
      <w:r w:rsidRPr="003E529F">
        <w:rPr>
          <w:rFonts w:eastAsiaTheme="minorEastAsia"/>
          <w:lang w:val="en-AU" w:eastAsia="en-US"/>
        </w:rPr>
        <w:t> </w:t>
      </w:r>
    </w:p>
    <w:p w14:paraId="1817593A" w14:textId="77777777" w:rsidR="0017157A" w:rsidRDefault="0017157A" w:rsidP="0017157A">
      <w:pPr>
        <w:pStyle w:val="xxmsonormal"/>
      </w:pPr>
      <w:r w:rsidRPr="003E529F">
        <w:rPr>
          <w:rFonts w:eastAsiaTheme="minorEastAsia"/>
          <w:lang w:val="en-AU" w:eastAsia="en-US"/>
        </w:rPr>
        <w:t xml:space="preserve">For further information on the redesign of </w:t>
      </w:r>
      <w:r w:rsidRPr="002F4E10">
        <w:rPr>
          <w:rFonts w:eastAsiaTheme="minorEastAsia"/>
          <w:i/>
          <w:iCs/>
          <w:lang w:val="en-AU" w:eastAsia="en-US"/>
        </w:rPr>
        <w:t>Te Marautanga o Aotearoa</w:t>
      </w:r>
      <w:r w:rsidRPr="002F4E10">
        <w:rPr>
          <w:rFonts w:eastAsiaTheme="minorEastAsia"/>
          <w:lang w:val="en-AU" w:eastAsia="en-US"/>
        </w:rPr>
        <w:t>,</w:t>
      </w:r>
      <w:r w:rsidRPr="003E529F">
        <w:rPr>
          <w:rFonts w:eastAsiaTheme="minorEastAsia"/>
          <w:lang w:val="en-AU" w:eastAsia="en-US"/>
        </w:rPr>
        <w:t xml:space="preserve"> see </w:t>
      </w:r>
      <w:r>
        <w:rPr>
          <w:rFonts w:eastAsiaTheme="minorEastAsia"/>
          <w:lang w:val="en-AU" w:eastAsia="en-US"/>
        </w:rPr>
        <w:t>here:</w:t>
      </w:r>
      <w:r w:rsidRPr="003E529F">
        <w:rPr>
          <w:rFonts w:eastAsiaTheme="minorEastAsia"/>
          <w:lang w:val="en-AU" w:eastAsia="en-US"/>
        </w:rPr>
        <w:t xml:space="preserve"> </w:t>
      </w:r>
      <w:r>
        <w:t>  </w:t>
      </w:r>
    </w:p>
    <w:p w14:paraId="52C6C370" w14:textId="2A578C75" w:rsidR="0017157A" w:rsidRPr="0017157A" w:rsidRDefault="0017157A" w:rsidP="0017157A">
      <w:pPr>
        <w:pStyle w:val="xxmsonormal"/>
        <w:rPr>
          <w:u w:val="single"/>
        </w:rPr>
      </w:pPr>
      <w:r w:rsidRPr="0017157A">
        <w:rPr>
          <w:u w:val="single"/>
        </w:rPr>
        <w:t>https://kauwhatareo.govt.nz/en/kaupapa/te-whakahou-i-te-marautanga-o-aotearoa/</w:t>
      </w:r>
    </w:p>
    <w:p w14:paraId="5BE42E04" w14:textId="7BB42384" w:rsidR="0017157A" w:rsidRDefault="0017157A" w:rsidP="0017157A">
      <w:pPr>
        <w:rPr>
          <w:rFonts w:ascii="Calibri" w:hAnsi="Calibri" w:cs="Calibri"/>
          <w:lang w:val="en-AU"/>
        </w:rPr>
      </w:pPr>
    </w:p>
    <w:p w14:paraId="48C375F0" w14:textId="03AE66A6" w:rsidR="0017157A" w:rsidRDefault="0017157A" w:rsidP="0017157A">
      <w:pPr>
        <w:pStyle w:val="Heading3"/>
        <w:rPr>
          <w:lang w:val="en-AU"/>
        </w:rPr>
      </w:pPr>
      <w:r>
        <w:rPr>
          <w:lang w:val="en-AU"/>
        </w:rPr>
        <w:t>Session 2</w:t>
      </w:r>
    </w:p>
    <w:p w14:paraId="54A49E08" w14:textId="2B22FD37" w:rsidR="0017157A" w:rsidRPr="00CB3686" w:rsidRDefault="0017157A" w:rsidP="0017157A">
      <w:pPr>
        <w:rPr>
          <w:lang w:val="en-AU"/>
        </w:rPr>
      </w:pPr>
      <w:r w:rsidRPr="00CB3686">
        <w:rPr>
          <w:lang w:val="en-AU"/>
        </w:rPr>
        <w:t>Update on the refresh of the NZC English learning area</w:t>
      </w:r>
    </w:p>
    <w:p w14:paraId="71CBD1FB" w14:textId="36F48C33" w:rsidR="0017157A" w:rsidRPr="00D032D2" w:rsidRDefault="0017157A" w:rsidP="0017157A">
      <w:pPr>
        <w:rPr>
          <w:rFonts w:ascii="Calibri" w:hAnsi="Calibri" w:cs="Calibri"/>
          <w:lang w:val="en-AU"/>
        </w:rPr>
      </w:pPr>
      <w:r w:rsidRPr="00D032D2">
        <w:rPr>
          <w:rFonts w:ascii="Calibri" w:hAnsi="Calibri" w:cs="Calibri"/>
          <w:lang w:val="en-AU"/>
        </w:rPr>
        <w:t>Presenters</w:t>
      </w:r>
    </w:p>
    <w:p w14:paraId="334371BC" w14:textId="77777777" w:rsidR="0017157A" w:rsidRPr="0017157A" w:rsidRDefault="0017157A" w:rsidP="0017157A">
      <w:pPr>
        <w:rPr>
          <w:rFonts w:ascii="Calibri" w:hAnsi="Calibri" w:cs="Calibri"/>
          <w:i/>
          <w:iCs/>
          <w:lang w:val="en-AU"/>
        </w:rPr>
      </w:pPr>
      <w:r w:rsidRPr="0017157A">
        <w:rPr>
          <w:rFonts w:ascii="Calibri" w:hAnsi="Calibri" w:cs="Calibri"/>
          <w:i/>
          <w:iCs/>
          <w:lang w:val="en-AU"/>
        </w:rPr>
        <w:t>Chris Carr</w:t>
      </w:r>
    </w:p>
    <w:p w14:paraId="3D6F1456" w14:textId="77777777" w:rsidR="0017157A" w:rsidRPr="0017157A" w:rsidRDefault="0017157A" w:rsidP="0017157A">
      <w:pPr>
        <w:rPr>
          <w:rFonts w:ascii="Calibri" w:hAnsi="Calibri" w:cs="Calibri"/>
          <w:i/>
          <w:iCs/>
          <w:lang w:val="en-AU"/>
        </w:rPr>
      </w:pPr>
      <w:r w:rsidRPr="0017157A">
        <w:rPr>
          <w:rFonts w:ascii="Calibri" w:hAnsi="Calibri" w:cs="Calibri"/>
          <w:i/>
          <w:iCs/>
          <w:lang w:val="en-AU"/>
        </w:rPr>
        <w:t xml:space="preserve">Learning Area Lead Writer - English </w:t>
      </w:r>
    </w:p>
    <w:p w14:paraId="6DAF089A" w14:textId="77777777" w:rsidR="0017157A" w:rsidRPr="0017157A" w:rsidRDefault="0017157A" w:rsidP="0017157A">
      <w:pPr>
        <w:rPr>
          <w:rFonts w:ascii="Calibri" w:hAnsi="Calibri" w:cs="Calibri"/>
          <w:b/>
          <w:bCs/>
          <w:lang w:val="en-AU"/>
        </w:rPr>
      </w:pPr>
    </w:p>
    <w:p w14:paraId="6EE9F687" w14:textId="77777777" w:rsidR="0017157A" w:rsidRPr="0017157A" w:rsidRDefault="0017157A" w:rsidP="0017157A">
      <w:pPr>
        <w:spacing w:line="240" w:lineRule="atLeast"/>
        <w:rPr>
          <w:rFonts w:ascii="Calibri" w:hAnsi="Calibri" w:cs="Calibri"/>
          <w:i/>
          <w:iCs/>
          <w:lang w:val="en-AU"/>
        </w:rPr>
      </w:pPr>
      <w:r w:rsidRPr="0017157A">
        <w:rPr>
          <w:rFonts w:ascii="Calibri" w:hAnsi="Calibri" w:cs="Calibri"/>
          <w:i/>
          <w:iCs/>
          <w:lang w:val="en-AU"/>
        </w:rPr>
        <w:t xml:space="preserve">Rebecca </w:t>
      </w:r>
      <w:proofErr w:type="spellStart"/>
      <w:r w:rsidRPr="0017157A">
        <w:rPr>
          <w:rFonts w:ascii="Calibri" w:hAnsi="Calibri" w:cs="Calibri"/>
          <w:i/>
          <w:iCs/>
          <w:lang w:val="en-AU"/>
        </w:rPr>
        <w:t>Jesson</w:t>
      </w:r>
      <w:proofErr w:type="spellEnd"/>
    </w:p>
    <w:p w14:paraId="20A3792E" w14:textId="77777777" w:rsidR="0017157A" w:rsidRPr="0017157A" w:rsidRDefault="0017157A" w:rsidP="0017157A">
      <w:pPr>
        <w:spacing w:line="240" w:lineRule="atLeast"/>
        <w:rPr>
          <w:rFonts w:ascii="Calibri" w:hAnsi="Calibri" w:cs="Calibri"/>
          <w:i/>
          <w:iCs/>
          <w:lang w:val="en-AU"/>
        </w:rPr>
      </w:pPr>
      <w:r w:rsidRPr="0017157A">
        <w:rPr>
          <w:rFonts w:ascii="Calibri" w:hAnsi="Calibri" w:cs="Calibri"/>
          <w:i/>
          <w:iCs/>
          <w:lang w:val="en-AU"/>
        </w:rPr>
        <w:t>Associate Professor, Faculty of Education and</w:t>
      </w:r>
      <w:r w:rsidRPr="0017157A">
        <w:rPr>
          <w:rFonts w:ascii="Calibri" w:hAnsi="Calibri" w:cs="Calibri"/>
        </w:rPr>
        <w:t xml:space="preserve"> </w:t>
      </w:r>
      <w:r w:rsidRPr="0017157A">
        <w:rPr>
          <w:rFonts w:ascii="Calibri" w:hAnsi="Calibri" w:cs="Calibri"/>
          <w:i/>
          <w:iCs/>
          <w:lang w:val="en-AU"/>
        </w:rPr>
        <w:t>Social Work, Curriculum and Pedagogy</w:t>
      </w:r>
    </w:p>
    <w:p w14:paraId="3A6C8EFC" w14:textId="77777777" w:rsidR="0017157A" w:rsidRPr="0017157A" w:rsidRDefault="0017157A" w:rsidP="0017157A">
      <w:pPr>
        <w:spacing w:line="240" w:lineRule="atLeast"/>
        <w:rPr>
          <w:rFonts w:ascii="Calibri" w:hAnsi="Calibri" w:cs="Calibri"/>
          <w:i/>
          <w:iCs/>
          <w:lang w:val="en-AU"/>
        </w:rPr>
      </w:pPr>
      <w:r w:rsidRPr="0017157A">
        <w:rPr>
          <w:rFonts w:ascii="Calibri" w:hAnsi="Calibri" w:cs="Calibri"/>
          <w:i/>
          <w:iCs/>
          <w:lang w:val="en-AU"/>
        </w:rPr>
        <w:t>University of Auckland</w:t>
      </w:r>
    </w:p>
    <w:p w14:paraId="71B63901" w14:textId="77777777" w:rsidR="0017157A" w:rsidRPr="0017157A" w:rsidRDefault="0017157A" w:rsidP="0017157A">
      <w:pPr>
        <w:spacing w:line="240" w:lineRule="atLeast"/>
        <w:rPr>
          <w:rFonts w:ascii="Calibri" w:hAnsi="Calibri" w:cs="Calibri"/>
          <w:i/>
          <w:iCs/>
          <w:lang w:val="en-AU"/>
        </w:rPr>
      </w:pPr>
    </w:p>
    <w:p w14:paraId="76B5C4EF" w14:textId="77777777" w:rsidR="0017157A" w:rsidRPr="0017157A" w:rsidRDefault="0017157A" w:rsidP="0017157A">
      <w:pPr>
        <w:shd w:val="clear" w:color="auto" w:fill="FFFFFF"/>
        <w:ind w:right="543"/>
        <w:rPr>
          <w:rFonts w:ascii="Calibri" w:hAnsi="Calibri" w:cs="Calibri"/>
          <w:i/>
          <w:iCs/>
          <w:lang w:val="en-AU"/>
        </w:rPr>
      </w:pPr>
      <w:r w:rsidRPr="0017157A">
        <w:rPr>
          <w:rFonts w:ascii="Calibri" w:hAnsi="Calibri" w:cs="Calibri"/>
          <w:i/>
          <w:iCs/>
          <w:lang w:val="en-AU"/>
        </w:rPr>
        <w:t xml:space="preserve">Susan </w:t>
      </w:r>
      <w:proofErr w:type="spellStart"/>
      <w:r w:rsidRPr="0017157A">
        <w:rPr>
          <w:rFonts w:ascii="Calibri" w:hAnsi="Calibri" w:cs="Calibri"/>
          <w:i/>
          <w:iCs/>
          <w:lang w:val="en-AU"/>
        </w:rPr>
        <w:t>Sandretto</w:t>
      </w:r>
      <w:proofErr w:type="spellEnd"/>
      <w:r w:rsidRPr="0017157A">
        <w:rPr>
          <w:rFonts w:ascii="Calibri" w:hAnsi="Calibri" w:cs="Calibri"/>
          <w:i/>
          <w:iCs/>
          <w:lang w:val="en-AU"/>
        </w:rPr>
        <w:t>, Associate Professor, College of Education</w:t>
      </w:r>
    </w:p>
    <w:p w14:paraId="079BAF50" w14:textId="10114CE9" w:rsidR="0017157A" w:rsidRDefault="0017157A" w:rsidP="0017157A">
      <w:pPr>
        <w:shd w:val="clear" w:color="auto" w:fill="FFFFFF"/>
        <w:ind w:right="543"/>
        <w:rPr>
          <w:rFonts w:ascii="Calibri" w:hAnsi="Calibri" w:cs="Calibri"/>
          <w:i/>
          <w:iCs/>
          <w:lang w:val="en-AU"/>
        </w:rPr>
      </w:pPr>
      <w:r w:rsidRPr="0017157A">
        <w:rPr>
          <w:rFonts w:ascii="Calibri" w:hAnsi="Calibri" w:cs="Calibri"/>
          <w:i/>
          <w:iCs/>
          <w:lang w:val="en-AU"/>
        </w:rPr>
        <w:t>University of Otago</w:t>
      </w:r>
    </w:p>
    <w:p w14:paraId="02C04A02" w14:textId="77777777" w:rsidR="0017157A" w:rsidRPr="0017157A" w:rsidRDefault="0017157A" w:rsidP="0017157A">
      <w:pPr>
        <w:shd w:val="clear" w:color="auto" w:fill="FFFFFF"/>
        <w:ind w:right="543"/>
        <w:rPr>
          <w:rFonts w:ascii="Calibri" w:hAnsi="Calibri" w:cs="Calibri"/>
          <w:i/>
          <w:iCs/>
          <w:lang w:val="en-AU"/>
        </w:rPr>
      </w:pPr>
    </w:p>
    <w:p w14:paraId="229D7D27" w14:textId="77777777" w:rsidR="0017157A" w:rsidRPr="0017157A" w:rsidRDefault="0017157A" w:rsidP="0017157A">
      <w:pPr>
        <w:rPr>
          <w:rFonts w:ascii="Calibri" w:hAnsi="Calibri" w:cs="Calibri"/>
          <w:lang w:val="en-AU"/>
        </w:rPr>
      </w:pPr>
      <w:r w:rsidRPr="0017157A">
        <w:rPr>
          <w:rFonts w:ascii="Calibri" w:hAnsi="Calibri" w:cs="Calibri"/>
          <w:lang w:val="en-AU"/>
        </w:rPr>
        <w:t>Session 2 provided an overview on the refresh of the NZC for the English learning area. This included navigating the progression of the Progress Outcomes, key shifts in the English content area, and features of the draft.</w:t>
      </w:r>
    </w:p>
    <w:p w14:paraId="1E0E06B8" w14:textId="1EE262D3" w:rsidR="0017157A" w:rsidRPr="0017157A" w:rsidRDefault="0017157A" w:rsidP="0017157A">
      <w:pPr>
        <w:framePr w:hSpace="180" w:wrap="around" w:vAnchor="text" w:hAnchor="text" w:y="1"/>
        <w:suppressOverlap/>
        <w:rPr>
          <w:rFonts w:ascii="Calibri" w:hAnsi="Calibri" w:cs="Calibri"/>
          <w:lang w:val="en-AU"/>
        </w:rPr>
      </w:pPr>
      <w:r w:rsidRPr="0017157A">
        <w:rPr>
          <w:rFonts w:ascii="Calibri" w:hAnsi="Calibri" w:cs="Calibri"/>
          <w:lang w:val="en-AU"/>
        </w:rPr>
        <w:t xml:space="preserve">Rebecca </w:t>
      </w:r>
      <w:proofErr w:type="spellStart"/>
      <w:r w:rsidRPr="0017157A">
        <w:rPr>
          <w:rFonts w:ascii="Calibri" w:hAnsi="Calibri" w:cs="Calibri"/>
          <w:lang w:val="en-AU"/>
        </w:rPr>
        <w:t>Jesson</w:t>
      </w:r>
      <w:proofErr w:type="spellEnd"/>
      <w:r w:rsidRPr="0017157A">
        <w:rPr>
          <w:rFonts w:ascii="Calibri" w:hAnsi="Calibri" w:cs="Calibri"/>
          <w:lang w:val="en-AU"/>
        </w:rPr>
        <w:t xml:space="preserve">, Susan </w:t>
      </w:r>
      <w:proofErr w:type="spellStart"/>
      <w:r w:rsidRPr="0017157A">
        <w:rPr>
          <w:rFonts w:ascii="Calibri" w:hAnsi="Calibri" w:cs="Calibri"/>
          <w:lang w:val="en-AU"/>
        </w:rPr>
        <w:t>Sandretto</w:t>
      </w:r>
      <w:proofErr w:type="spellEnd"/>
      <w:r w:rsidRPr="0017157A">
        <w:rPr>
          <w:rFonts w:ascii="Calibri" w:hAnsi="Calibri" w:cs="Calibri"/>
          <w:lang w:val="en-AU"/>
        </w:rPr>
        <w:t xml:space="preserve">, and Chris Carr spoke on the intention of the English learning area refresh, exploring key elements of the design and how these reflect the broader Te Mātaiaho framework. The group discussed possible implications of these changes for initial teacher education (ITE), both in terms of programme design and challenges for </w:t>
      </w:r>
      <w:r w:rsidRPr="0017157A">
        <w:rPr>
          <w:rFonts w:ascii="Calibri" w:hAnsi="Calibri" w:cs="Calibri"/>
        </w:rPr>
        <w:t>ā</w:t>
      </w:r>
      <w:proofErr w:type="spellStart"/>
      <w:r w:rsidRPr="0017157A">
        <w:rPr>
          <w:rFonts w:ascii="Calibri" w:hAnsi="Calibri" w:cs="Calibri"/>
          <w:lang w:val="en-AU"/>
        </w:rPr>
        <w:t>konga</w:t>
      </w:r>
      <w:proofErr w:type="spellEnd"/>
      <w:r w:rsidRPr="0017157A">
        <w:rPr>
          <w:rFonts w:ascii="Calibri" w:hAnsi="Calibri" w:cs="Calibri"/>
          <w:lang w:val="en-AU"/>
        </w:rPr>
        <w:t xml:space="preserve">. </w:t>
      </w:r>
    </w:p>
    <w:p w14:paraId="1B2482EF" w14:textId="77777777" w:rsidR="0017157A" w:rsidRPr="0017157A" w:rsidRDefault="0017157A" w:rsidP="0017157A">
      <w:pPr>
        <w:pStyle w:val="xxmsonormal"/>
        <w:framePr w:hSpace="180" w:wrap="around" w:vAnchor="text" w:hAnchor="text" w:y="1"/>
        <w:suppressOverlap/>
      </w:pPr>
      <w:r w:rsidRPr="0017157A">
        <w:rPr>
          <w:rFonts w:eastAsiaTheme="minorEastAsia"/>
          <w:lang w:val="en-AU" w:eastAsia="en-US"/>
        </w:rPr>
        <w:t>For further information on the changes to the NZC, see here:</w:t>
      </w:r>
    </w:p>
    <w:p w14:paraId="5841B0F2" w14:textId="28161832" w:rsidR="0017157A" w:rsidRDefault="0017157A" w:rsidP="0017157A">
      <w:pPr>
        <w:rPr>
          <w:rFonts w:ascii="Calibri" w:hAnsi="Calibri" w:cs="Calibri"/>
          <w:u w:val="single"/>
        </w:rPr>
      </w:pPr>
      <w:r w:rsidRPr="0017157A">
        <w:rPr>
          <w:rFonts w:ascii="Calibri" w:hAnsi="Calibri" w:cs="Calibri"/>
          <w:u w:val="single"/>
        </w:rPr>
        <w:t>Changes to The New Zealand Curriculum | Curriculum Refresh (education.govt.nz)</w:t>
      </w:r>
    </w:p>
    <w:p w14:paraId="72AB0D87" w14:textId="2732EC4E" w:rsidR="0017157A" w:rsidRDefault="0017157A" w:rsidP="0017157A">
      <w:pPr>
        <w:rPr>
          <w:rFonts w:ascii="Calibri" w:hAnsi="Calibri" w:cs="Calibri"/>
          <w:u w:val="single"/>
        </w:rPr>
      </w:pPr>
    </w:p>
    <w:p w14:paraId="67A03457" w14:textId="43827E60" w:rsidR="0017157A" w:rsidRDefault="0017157A" w:rsidP="0017157A">
      <w:pPr>
        <w:pStyle w:val="Heading3"/>
        <w:rPr>
          <w:color w:val="auto"/>
          <w:lang w:val="en-AU"/>
        </w:rPr>
      </w:pPr>
      <w:r w:rsidRPr="0017157A">
        <w:rPr>
          <w:color w:val="auto"/>
          <w:lang w:val="en-AU"/>
        </w:rPr>
        <w:t xml:space="preserve">Session 3 </w:t>
      </w:r>
    </w:p>
    <w:p w14:paraId="264C1056" w14:textId="77777777" w:rsidR="0017157A" w:rsidRPr="004456A8" w:rsidRDefault="0017157A" w:rsidP="0017157A">
      <w:pPr>
        <w:spacing w:after="120"/>
        <w:ind w:right="543"/>
        <w:rPr>
          <w:rFonts w:ascii="Calibri" w:hAnsi="Calibri" w:cs="Calibri"/>
          <w:sz w:val="20"/>
          <w:szCs w:val="20"/>
        </w:rPr>
      </w:pPr>
      <w:r w:rsidRPr="002F4E10">
        <w:rPr>
          <w:rFonts w:ascii="Calibri" w:hAnsi="Calibri" w:cs="Calibri"/>
          <w:i/>
          <w:iCs/>
          <w:sz w:val="20"/>
          <w:szCs w:val="20"/>
        </w:rPr>
        <w:t>Literacy &amp; Communication and Maths Strategy</w:t>
      </w:r>
      <w:r w:rsidRPr="004456A8">
        <w:rPr>
          <w:rFonts w:ascii="Calibri" w:hAnsi="Calibri" w:cs="Calibri"/>
          <w:sz w:val="20"/>
          <w:szCs w:val="20"/>
        </w:rPr>
        <w:t xml:space="preserve"> and the Common Practice Model</w:t>
      </w:r>
    </w:p>
    <w:p w14:paraId="3A5FB28E" w14:textId="77777777" w:rsidR="0017157A" w:rsidRPr="00D032D2" w:rsidRDefault="0017157A" w:rsidP="0017157A">
      <w:pPr>
        <w:rPr>
          <w:rFonts w:ascii="Calibri" w:hAnsi="Calibri" w:cs="Calibri"/>
          <w:lang w:val="en-AU"/>
        </w:rPr>
      </w:pPr>
      <w:r w:rsidRPr="00D032D2">
        <w:rPr>
          <w:rFonts w:ascii="Calibri" w:hAnsi="Calibri" w:cs="Calibri"/>
          <w:lang w:val="en-AU"/>
        </w:rPr>
        <w:t xml:space="preserve">Presenter </w:t>
      </w:r>
    </w:p>
    <w:p w14:paraId="0451D65E" w14:textId="77777777" w:rsidR="0017157A" w:rsidRPr="0017157A" w:rsidRDefault="0017157A" w:rsidP="0017157A">
      <w:pPr>
        <w:rPr>
          <w:rFonts w:ascii="Calibri" w:hAnsi="Calibri" w:cs="Calibri"/>
          <w:i/>
          <w:iCs/>
          <w:lang w:val="en-AU"/>
        </w:rPr>
      </w:pPr>
      <w:r w:rsidRPr="0017157A">
        <w:rPr>
          <w:rFonts w:ascii="Calibri" w:hAnsi="Calibri" w:cs="Calibri"/>
          <w:i/>
          <w:iCs/>
          <w:lang w:val="en-AU"/>
        </w:rPr>
        <w:t>Giles Panting</w:t>
      </w:r>
    </w:p>
    <w:p w14:paraId="52999363" w14:textId="77777777" w:rsidR="0017157A" w:rsidRPr="0017157A" w:rsidRDefault="0017157A" w:rsidP="0017157A">
      <w:pPr>
        <w:rPr>
          <w:rFonts w:ascii="Calibri" w:hAnsi="Calibri" w:cs="Calibri"/>
          <w:i/>
          <w:iCs/>
          <w:lang w:val="en-AU"/>
        </w:rPr>
      </w:pPr>
      <w:r w:rsidRPr="0017157A">
        <w:rPr>
          <w:rFonts w:ascii="Calibri" w:hAnsi="Calibri" w:cs="Calibri"/>
          <w:i/>
          <w:iCs/>
          <w:lang w:val="en-AU"/>
        </w:rPr>
        <w:t xml:space="preserve">Senior Manager </w:t>
      </w:r>
    </w:p>
    <w:p w14:paraId="68B8227E" w14:textId="7B101A54" w:rsidR="0017157A" w:rsidRDefault="0017157A" w:rsidP="0017157A">
      <w:pPr>
        <w:rPr>
          <w:rFonts w:ascii="Calibri" w:hAnsi="Calibri" w:cs="Calibri"/>
          <w:i/>
          <w:iCs/>
          <w:lang w:val="en-AU"/>
        </w:rPr>
      </w:pPr>
      <w:r w:rsidRPr="0017157A">
        <w:rPr>
          <w:rFonts w:ascii="Calibri" w:hAnsi="Calibri" w:cs="Calibri"/>
          <w:i/>
          <w:iCs/>
          <w:lang w:val="en-AU"/>
        </w:rPr>
        <w:t xml:space="preserve">Te </w:t>
      </w:r>
      <w:proofErr w:type="spellStart"/>
      <w:r w:rsidRPr="0017157A">
        <w:rPr>
          <w:rFonts w:ascii="Calibri" w:hAnsi="Calibri" w:cs="Calibri"/>
          <w:i/>
          <w:iCs/>
          <w:lang w:val="en-AU"/>
        </w:rPr>
        <w:t>Tāhuhu</w:t>
      </w:r>
      <w:proofErr w:type="spellEnd"/>
      <w:r w:rsidRPr="0017157A">
        <w:rPr>
          <w:rFonts w:ascii="Calibri" w:hAnsi="Calibri" w:cs="Calibri"/>
          <w:i/>
          <w:iCs/>
          <w:lang w:val="en-AU"/>
        </w:rPr>
        <w:t xml:space="preserve"> o </w:t>
      </w:r>
      <w:proofErr w:type="spellStart"/>
      <w:r w:rsidRPr="0017157A">
        <w:rPr>
          <w:rFonts w:ascii="Calibri" w:hAnsi="Calibri" w:cs="Calibri"/>
          <w:i/>
          <w:iCs/>
          <w:lang w:val="en-AU"/>
        </w:rPr>
        <w:t>te</w:t>
      </w:r>
      <w:proofErr w:type="spellEnd"/>
      <w:r w:rsidRPr="0017157A">
        <w:rPr>
          <w:rFonts w:ascii="Calibri" w:hAnsi="Calibri" w:cs="Calibri"/>
          <w:i/>
          <w:iCs/>
          <w:lang w:val="en-AU"/>
        </w:rPr>
        <w:t xml:space="preserve"> </w:t>
      </w:r>
      <w:proofErr w:type="spellStart"/>
      <w:r w:rsidRPr="0017157A">
        <w:rPr>
          <w:rFonts w:ascii="Calibri" w:hAnsi="Calibri" w:cs="Calibri"/>
          <w:i/>
          <w:iCs/>
          <w:lang w:val="en-AU"/>
        </w:rPr>
        <w:t>Mātauranga</w:t>
      </w:r>
      <w:proofErr w:type="spellEnd"/>
    </w:p>
    <w:p w14:paraId="4A91EC50" w14:textId="76BA8319" w:rsidR="0017157A" w:rsidRDefault="0017157A" w:rsidP="0017157A">
      <w:pPr>
        <w:rPr>
          <w:rFonts w:ascii="Calibri" w:hAnsi="Calibri" w:cs="Calibri"/>
          <w:i/>
          <w:iCs/>
          <w:lang w:val="en-AU"/>
        </w:rPr>
      </w:pPr>
    </w:p>
    <w:p w14:paraId="0731951D" w14:textId="68E319F3" w:rsidR="0017157A" w:rsidRPr="0017157A" w:rsidRDefault="0017157A" w:rsidP="0017157A">
      <w:pPr>
        <w:rPr>
          <w:rFonts w:ascii="Calibri" w:hAnsi="Calibri" w:cs="Calibri"/>
          <w:lang w:val="en-AU"/>
        </w:rPr>
      </w:pPr>
      <w:r w:rsidRPr="00F401F2">
        <w:rPr>
          <w:rFonts w:ascii="Calibri" w:hAnsi="Calibri" w:cs="Calibri"/>
          <w:lang w:val="en-AU"/>
        </w:rPr>
        <w:t xml:space="preserve">Session </w:t>
      </w:r>
      <w:r>
        <w:rPr>
          <w:rFonts w:ascii="Calibri" w:hAnsi="Calibri" w:cs="Calibri"/>
          <w:lang w:val="en-AU"/>
        </w:rPr>
        <w:t>3</w:t>
      </w:r>
      <w:r w:rsidRPr="00F401F2">
        <w:rPr>
          <w:rFonts w:ascii="Calibri" w:hAnsi="Calibri" w:cs="Calibri"/>
          <w:lang w:val="en-AU"/>
        </w:rPr>
        <w:t xml:space="preserve"> </w:t>
      </w:r>
      <w:r>
        <w:rPr>
          <w:rFonts w:ascii="Calibri" w:hAnsi="Calibri" w:cs="Calibri"/>
          <w:lang w:val="en-AU"/>
        </w:rPr>
        <w:t xml:space="preserve">provided an overview of the purpose of the </w:t>
      </w:r>
      <w:r w:rsidRPr="002F4E10">
        <w:rPr>
          <w:rFonts w:ascii="Calibri" w:hAnsi="Calibri" w:cs="Calibri"/>
          <w:i/>
          <w:iCs/>
          <w:lang w:val="en-AU"/>
        </w:rPr>
        <w:t>Literacy &amp; Communication and Maths Strategy</w:t>
      </w:r>
      <w:r>
        <w:rPr>
          <w:rFonts w:ascii="Calibri" w:hAnsi="Calibri" w:cs="Calibri"/>
          <w:lang w:val="en-AU"/>
        </w:rPr>
        <w:t xml:space="preserve">, as well as the Common Practice Model. </w:t>
      </w:r>
    </w:p>
    <w:p w14:paraId="6648A2FD" w14:textId="1680DE76" w:rsidR="0017157A" w:rsidRPr="0017157A" w:rsidRDefault="0017157A" w:rsidP="0017157A">
      <w:pPr>
        <w:rPr>
          <w:rFonts w:ascii="Calibri" w:hAnsi="Calibri" w:cs="Calibri"/>
          <w:lang w:val="en-AU"/>
        </w:rPr>
      </w:pPr>
      <w:r w:rsidRPr="0017157A">
        <w:rPr>
          <w:rFonts w:ascii="Calibri" w:hAnsi="Calibri" w:cs="Calibri"/>
          <w:lang w:val="en-AU"/>
        </w:rPr>
        <w:t xml:space="preserve">Giles Panting reiterated the drivers and intent of the </w:t>
      </w:r>
      <w:r w:rsidRPr="0017157A">
        <w:rPr>
          <w:rFonts w:ascii="Calibri" w:hAnsi="Calibri" w:cs="Calibri"/>
          <w:i/>
          <w:iCs/>
          <w:lang w:val="en-AU"/>
        </w:rPr>
        <w:t>Literacy &amp; Communication and Maths Strategy</w:t>
      </w:r>
      <w:r w:rsidRPr="0017157A">
        <w:rPr>
          <w:rFonts w:ascii="Calibri" w:hAnsi="Calibri" w:cs="Calibri"/>
          <w:lang w:val="en-AU"/>
        </w:rPr>
        <w:t>. This included an overview and explanation of the work that is already underway (such as the development of a Common Practice Model which will identify the principles and pedagogies that underpin positive learner outcomes), and the plan of activity for 2023. ITE participants were then invited through discussion to identify opportunities and challenges for their organisation (relevant to the Common Practice Model), and to feedback on support that they might need from the Strategy team to prepare new teachers for the workforce.</w:t>
      </w:r>
    </w:p>
    <w:p w14:paraId="0BA1BA9A" w14:textId="798A4645" w:rsidR="0017157A" w:rsidRPr="0017157A" w:rsidRDefault="0017157A" w:rsidP="0017157A">
      <w:pPr>
        <w:pStyle w:val="xxmsonormal"/>
        <w:rPr>
          <w:rStyle w:val="Hyperlink"/>
          <w:color w:val="auto"/>
        </w:rPr>
      </w:pPr>
      <w:r w:rsidRPr="0017157A">
        <w:rPr>
          <w:rFonts w:eastAsiaTheme="minorEastAsia"/>
          <w:lang w:val="en-AU" w:eastAsia="en-US"/>
        </w:rPr>
        <w:t xml:space="preserve">For further information on the </w:t>
      </w:r>
      <w:r w:rsidRPr="0017157A">
        <w:rPr>
          <w:rFonts w:eastAsiaTheme="minorEastAsia"/>
          <w:i/>
          <w:iCs/>
          <w:lang w:val="en-AU" w:eastAsia="en-US"/>
        </w:rPr>
        <w:t>Literacy &amp; Communication and Maths Strategy</w:t>
      </w:r>
      <w:r w:rsidRPr="0017157A">
        <w:rPr>
          <w:rFonts w:eastAsiaTheme="minorEastAsia"/>
          <w:lang w:val="en-AU" w:eastAsia="en-US"/>
        </w:rPr>
        <w:t xml:space="preserve">, see here: </w:t>
      </w:r>
      <w:r w:rsidRPr="00D032D2">
        <w:rPr>
          <w:u w:val="single"/>
          <w:lang w:val="en-GB" w:eastAsia="en-US"/>
        </w:rPr>
        <w:t>Literacy &amp; Communication and Maths Strategy (education.govt.nz)</w:t>
      </w:r>
    </w:p>
    <w:p w14:paraId="6C444C9E" w14:textId="665D0DA0" w:rsidR="0017157A" w:rsidRDefault="0017157A" w:rsidP="0017157A">
      <w:pPr>
        <w:rPr>
          <w:rFonts w:ascii="Calibri" w:hAnsi="Calibri" w:cs="Calibri"/>
          <w:lang w:val="en-AU"/>
        </w:rPr>
      </w:pPr>
    </w:p>
    <w:p w14:paraId="1AE09E46" w14:textId="16BC2031" w:rsidR="00D032D2" w:rsidRDefault="00D032D2" w:rsidP="00D032D2">
      <w:pPr>
        <w:pStyle w:val="Heading2"/>
        <w:rPr>
          <w:color w:val="auto"/>
          <w:lang w:val="en-AU"/>
        </w:rPr>
      </w:pPr>
      <w:r w:rsidRPr="00D032D2">
        <w:rPr>
          <w:color w:val="auto"/>
          <w:lang w:val="en-AU"/>
        </w:rPr>
        <w:lastRenderedPageBreak/>
        <w:t>Key agreed outcomes from this hui</w:t>
      </w:r>
    </w:p>
    <w:p w14:paraId="7147D812" w14:textId="77777777" w:rsidR="00D032D2" w:rsidRPr="008B1364" w:rsidRDefault="00D032D2" w:rsidP="00D032D2">
      <w:pPr>
        <w:numPr>
          <w:ilvl w:val="0"/>
          <w:numId w:val="1"/>
        </w:numPr>
        <w:rPr>
          <w:rFonts w:ascii="Calibri" w:hAnsi="Calibri" w:cs="Calibri"/>
          <w:lang w:val="en-AU"/>
        </w:rPr>
      </w:pPr>
      <w:r w:rsidRPr="008B1364">
        <w:rPr>
          <w:rFonts w:ascii="Calibri" w:hAnsi="Calibri" w:cs="Calibri"/>
          <w:lang w:val="en-AU"/>
        </w:rPr>
        <w:t xml:space="preserve">To raise awareness that </w:t>
      </w:r>
      <w:r w:rsidRPr="008B1364">
        <w:rPr>
          <w:rFonts w:ascii="Calibri" w:hAnsi="Calibri" w:cs="Calibri"/>
          <w:i/>
          <w:iCs/>
          <w:lang w:val="en-AU"/>
        </w:rPr>
        <w:t>Te Marautanga o Aotearoa</w:t>
      </w:r>
      <w:r w:rsidRPr="008B1364">
        <w:rPr>
          <w:rFonts w:ascii="Calibri" w:hAnsi="Calibri" w:cs="Calibri"/>
          <w:lang w:val="en-AU"/>
        </w:rPr>
        <w:t xml:space="preserve"> is being fully redesigned, and that there will be significant changes to teaching and learning in </w:t>
      </w:r>
      <w:proofErr w:type="spellStart"/>
      <w:r w:rsidRPr="008B1364">
        <w:rPr>
          <w:rFonts w:ascii="Calibri" w:hAnsi="Calibri" w:cs="Calibri"/>
          <w:lang w:val="en-AU"/>
        </w:rPr>
        <w:t>kura</w:t>
      </w:r>
      <w:proofErr w:type="spellEnd"/>
      <w:r w:rsidRPr="008B1364">
        <w:rPr>
          <w:rFonts w:ascii="Calibri" w:hAnsi="Calibri" w:cs="Calibri"/>
          <w:lang w:val="en-AU"/>
        </w:rPr>
        <w:t xml:space="preserve"> kaupapa Māori as a result.</w:t>
      </w:r>
    </w:p>
    <w:p w14:paraId="6C3919CE" w14:textId="77777777" w:rsidR="00D032D2" w:rsidRPr="008B1364" w:rsidRDefault="00D032D2" w:rsidP="00D032D2">
      <w:pPr>
        <w:numPr>
          <w:ilvl w:val="0"/>
          <w:numId w:val="1"/>
        </w:numPr>
        <w:rPr>
          <w:rFonts w:ascii="Calibri" w:hAnsi="Calibri" w:cs="Calibri"/>
          <w:lang w:val="en-AU"/>
        </w:rPr>
      </w:pPr>
      <w:r w:rsidRPr="008B1364">
        <w:rPr>
          <w:rFonts w:ascii="Calibri" w:hAnsi="Calibri" w:cs="Calibri"/>
          <w:lang w:val="en-AU"/>
        </w:rPr>
        <w:t>To raise awareness of the broad directions for travel of the English learning area refresh and the implications this may have for ITE.</w:t>
      </w:r>
    </w:p>
    <w:p w14:paraId="659FE9FF" w14:textId="77777777" w:rsidR="00D032D2" w:rsidRPr="008B1364" w:rsidRDefault="00D032D2" w:rsidP="00D032D2">
      <w:pPr>
        <w:numPr>
          <w:ilvl w:val="0"/>
          <w:numId w:val="1"/>
        </w:numPr>
        <w:rPr>
          <w:rFonts w:ascii="Calibri" w:hAnsi="Calibri" w:cs="Calibri"/>
          <w:lang w:val="en-AU"/>
        </w:rPr>
      </w:pPr>
      <w:r w:rsidRPr="008B1364">
        <w:rPr>
          <w:rFonts w:ascii="Calibri" w:hAnsi="Calibri" w:cs="Calibri"/>
          <w:lang w:val="en-AU"/>
        </w:rPr>
        <w:t>To begin to explore the opportunities and potential challenges with ITE in terms of partnering as we implement the Common Practice Model.</w:t>
      </w:r>
    </w:p>
    <w:p w14:paraId="4A2BC0B5" w14:textId="77777777" w:rsidR="00D032D2" w:rsidRPr="00D032D2" w:rsidRDefault="00D032D2" w:rsidP="00D032D2">
      <w:pPr>
        <w:rPr>
          <w:lang w:val="en-AU"/>
        </w:rPr>
      </w:pPr>
    </w:p>
    <w:p w14:paraId="1F68E8EA" w14:textId="77777777" w:rsidR="00D032D2" w:rsidRPr="00D032D2" w:rsidRDefault="00D032D2" w:rsidP="00D032D2">
      <w:pPr>
        <w:rPr>
          <w:lang w:val="en-AU"/>
        </w:rPr>
      </w:pPr>
    </w:p>
    <w:p w14:paraId="64461830" w14:textId="77777777" w:rsidR="00D032D2" w:rsidRPr="00D032D2" w:rsidRDefault="00D032D2" w:rsidP="00D032D2">
      <w:pPr>
        <w:rPr>
          <w:lang w:val="en-AU"/>
        </w:rPr>
      </w:pPr>
    </w:p>
    <w:p w14:paraId="0036F72E" w14:textId="77777777" w:rsidR="0017157A" w:rsidRPr="0017157A" w:rsidRDefault="0017157A" w:rsidP="0017157A">
      <w:pPr>
        <w:rPr>
          <w:lang w:val="en-AU"/>
        </w:rPr>
      </w:pPr>
    </w:p>
    <w:p w14:paraId="7D80712B" w14:textId="77777777" w:rsidR="0017157A" w:rsidRPr="0017157A" w:rsidRDefault="0017157A" w:rsidP="0017157A">
      <w:pPr>
        <w:rPr>
          <w:lang w:val="en-AU"/>
        </w:rPr>
      </w:pPr>
    </w:p>
    <w:sectPr w:rsidR="0017157A" w:rsidRPr="00171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50B2B"/>
    <w:multiLevelType w:val="hybridMultilevel"/>
    <w:tmpl w:val="2C841F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21993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7A"/>
    <w:rsid w:val="0017157A"/>
    <w:rsid w:val="004E6426"/>
    <w:rsid w:val="007E38C5"/>
    <w:rsid w:val="0086269D"/>
    <w:rsid w:val="00CB3686"/>
    <w:rsid w:val="00D032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AA42"/>
  <w15:chartTrackingRefBased/>
  <w15:docId w15:val="{A41D0669-99FC-4901-93B0-BDD37B464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15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15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15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157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715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157A"/>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17157A"/>
    <w:rPr>
      <w:color w:val="2E74B5" w:themeColor="accent5" w:themeShade="BF"/>
      <w:u w:val="single"/>
    </w:rPr>
  </w:style>
  <w:style w:type="paragraph" w:customStyle="1" w:styleId="xxmsonormal">
    <w:name w:val="x_x_msonormal"/>
    <w:basedOn w:val="Normal"/>
    <w:rsid w:val="0017157A"/>
    <w:pPr>
      <w:spacing w:after="0" w:line="240" w:lineRule="auto"/>
    </w:pPr>
    <w:rPr>
      <w:rFonts w:ascii="Calibri" w:hAnsi="Calibri" w:cs="Calibri"/>
      <w:lang w:eastAsia="en-NZ"/>
    </w:rPr>
  </w:style>
  <w:style w:type="character" w:styleId="CommentReference">
    <w:name w:val="annotation reference"/>
    <w:basedOn w:val="DefaultParagraphFont"/>
    <w:uiPriority w:val="99"/>
    <w:semiHidden/>
    <w:unhideWhenUsed/>
    <w:rsid w:val="0017157A"/>
    <w:rPr>
      <w:sz w:val="16"/>
      <w:szCs w:val="16"/>
    </w:rPr>
  </w:style>
  <w:style w:type="paragraph" w:styleId="CommentText">
    <w:name w:val="annotation text"/>
    <w:basedOn w:val="Normal"/>
    <w:link w:val="CommentTextChar"/>
    <w:uiPriority w:val="99"/>
    <w:semiHidden/>
    <w:unhideWhenUsed/>
    <w:rsid w:val="0017157A"/>
    <w:pPr>
      <w:spacing w:line="240" w:lineRule="auto"/>
    </w:pPr>
    <w:rPr>
      <w:sz w:val="20"/>
      <w:szCs w:val="20"/>
    </w:rPr>
  </w:style>
  <w:style w:type="character" w:customStyle="1" w:styleId="CommentTextChar">
    <w:name w:val="Comment Text Char"/>
    <w:basedOn w:val="DefaultParagraphFont"/>
    <w:link w:val="CommentText"/>
    <w:uiPriority w:val="99"/>
    <w:semiHidden/>
    <w:rsid w:val="0017157A"/>
    <w:rPr>
      <w:sz w:val="20"/>
      <w:szCs w:val="20"/>
    </w:rPr>
  </w:style>
  <w:style w:type="paragraph" w:styleId="CommentSubject">
    <w:name w:val="annotation subject"/>
    <w:basedOn w:val="CommentText"/>
    <w:next w:val="CommentText"/>
    <w:link w:val="CommentSubjectChar"/>
    <w:uiPriority w:val="99"/>
    <w:semiHidden/>
    <w:unhideWhenUsed/>
    <w:rsid w:val="0017157A"/>
    <w:rPr>
      <w:b/>
      <w:bCs/>
    </w:rPr>
  </w:style>
  <w:style w:type="character" w:customStyle="1" w:styleId="CommentSubjectChar">
    <w:name w:val="Comment Subject Char"/>
    <w:basedOn w:val="CommentTextChar"/>
    <w:link w:val="CommentSubject"/>
    <w:uiPriority w:val="99"/>
    <w:semiHidden/>
    <w:rsid w:val="0017157A"/>
    <w:rPr>
      <w:b/>
      <w:bCs/>
      <w:sz w:val="20"/>
      <w:szCs w:val="20"/>
    </w:rPr>
  </w:style>
  <w:style w:type="paragraph" w:styleId="Revision">
    <w:name w:val="Revision"/>
    <w:hidden/>
    <w:uiPriority w:val="99"/>
    <w:semiHidden/>
    <w:rsid w:val="007E38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2A7C3AAF79946A0213F1E712B46BA" ma:contentTypeVersion="15" ma:contentTypeDescription="Create a new document." ma:contentTypeScope="" ma:versionID="659bbd6f85484834dee0824aeec39379">
  <xsd:schema xmlns:xsd="http://www.w3.org/2001/XMLSchema" xmlns:xs="http://www.w3.org/2001/XMLSchema" xmlns:p="http://schemas.microsoft.com/office/2006/metadata/properties" xmlns:ns2="8a86e90f-9485-48b1-9cd8-cd52196d7331" xmlns:ns3="d1a51c35-fe07-45dc-a7d2-ceec8ad90605" targetNamespace="http://schemas.microsoft.com/office/2006/metadata/properties" ma:root="true" ma:fieldsID="2fd74f3f983f59b95b97dbd54ccec5ee" ns2:_="" ns3:_="">
    <xsd:import namespace="8a86e90f-9485-48b1-9cd8-cd52196d7331"/>
    <xsd:import namespace="d1a51c35-fe07-45dc-a7d2-ceec8ad90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6e90f-9485-48b1-9cd8-cd52196d7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be7a66c-04a3-4463-8f17-244784dbc5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a51c35-fe07-45dc-a7d2-ceec8ad906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ab891b-c877-487d-a008-a777cbe9d5d2}" ma:internalName="TaxCatchAll" ma:showField="CatchAllData" ma:web="d1a51c35-fe07-45dc-a7d2-ceec8ad90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1a51c35-fe07-45dc-a7d2-ceec8ad90605"/>
    <lcf76f155ced4ddcb4097134ff3c332f xmlns="8a86e90f-9485-48b1-9cd8-cd52196d73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F0BC75-9E94-4694-A170-E5AE1D8D6F62}">
  <ds:schemaRefs>
    <ds:schemaRef ds:uri="http://schemas.microsoft.com/sharepoint/v3/contenttype/forms"/>
  </ds:schemaRefs>
</ds:datastoreItem>
</file>

<file path=customXml/itemProps2.xml><?xml version="1.0" encoding="utf-8"?>
<ds:datastoreItem xmlns:ds="http://schemas.openxmlformats.org/officeDocument/2006/customXml" ds:itemID="{B4868285-F64D-4E58-9DCC-12ED4DDAB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6e90f-9485-48b1-9cd8-cd52196d7331"/>
    <ds:schemaRef ds:uri="d1a51c35-fe07-45dc-a7d2-ceec8ad90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CED72C-7C54-4A4E-A2DC-58F34B89338E}">
  <ds:schemaRefs>
    <ds:schemaRef ds:uri="d1a51c35-fe07-45dc-a7d2-ceec8ad90605"/>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8a86e90f-9485-48b1-9cd8-cd52196d7331"/>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662</Words>
  <Characters>3775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2023-03-14T00:53:00Z</dcterms:created>
  <dcterms:modified xsi:type="dcterms:W3CDTF">2023-03-14T00:53:00Z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0x010100E542A7C3AAF79946A0213F1E712B46BA</vt:lpwstr>
  </property>
</Properties>
</file>