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6AED" w14:textId="30AD7FAD" w:rsidR="009B7EAF" w:rsidRPr="001041B5" w:rsidRDefault="009B7EAF" w:rsidP="009B7EAF">
      <w:pPr>
        <w:pStyle w:val="Heading1"/>
        <w:rPr>
          <w:color w:val="auto"/>
        </w:rPr>
      </w:pPr>
      <w:r w:rsidRPr="001041B5">
        <w:rPr>
          <w:color w:val="auto"/>
        </w:rPr>
        <w:t>Ministry of Education and Initial Teacher Education Hui #2</w:t>
      </w:r>
    </w:p>
    <w:p w14:paraId="4BF601A7" w14:textId="77777777" w:rsidR="009B7EAF" w:rsidRPr="001041B5" w:rsidRDefault="009B7EAF" w:rsidP="009B7EAF">
      <w:pPr>
        <w:rPr>
          <w:sz w:val="24"/>
          <w:szCs w:val="24"/>
        </w:rPr>
      </w:pPr>
      <w:r w:rsidRPr="001041B5">
        <w:rPr>
          <w:sz w:val="24"/>
          <w:szCs w:val="24"/>
        </w:rPr>
        <w:t>Summary of big curricula change ideas</w:t>
      </w:r>
    </w:p>
    <w:p w14:paraId="37AA51BD" w14:textId="332D5BB3" w:rsidR="009B7EAF" w:rsidRPr="001041B5" w:rsidRDefault="009B7EAF" w:rsidP="009B7EAF">
      <w:pPr>
        <w:rPr>
          <w:sz w:val="24"/>
          <w:szCs w:val="24"/>
        </w:rPr>
      </w:pPr>
      <w:r w:rsidRPr="001041B5">
        <w:rPr>
          <w:sz w:val="24"/>
          <w:szCs w:val="24"/>
        </w:rPr>
        <w:t>25 August</w:t>
      </w:r>
      <w:r w:rsidR="007643D0">
        <w:rPr>
          <w:sz w:val="24"/>
          <w:szCs w:val="24"/>
        </w:rPr>
        <w:t>,</w:t>
      </w:r>
      <w:r w:rsidRPr="001041B5">
        <w:rPr>
          <w:sz w:val="24"/>
          <w:szCs w:val="24"/>
        </w:rPr>
        <w:t xml:space="preserve"> 2022</w:t>
      </w:r>
    </w:p>
    <w:p w14:paraId="0F1BF275" w14:textId="3E311A5E" w:rsidR="009B7EAF" w:rsidRPr="001041B5" w:rsidRDefault="009B7EAF" w:rsidP="009B7EAF"/>
    <w:p w14:paraId="4AC77E3E" w14:textId="77777777" w:rsidR="009B7EAF" w:rsidRPr="001041B5" w:rsidRDefault="009B7EAF" w:rsidP="009B7EAF">
      <w:pPr>
        <w:pStyle w:val="Heading2"/>
        <w:rPr>
          <w:color w:val="auto"/>
        </w:rPr>
      </w:pPr>
      <w:r w:rsidRPr="001041B5">
        <w:rPr>
          <w:color w:val="auto"/>
          <w:lang w:val="en-AU"/>
        </w:rPr>
        <w:t>Hui focus - Summary</w:t>
      </w:r>
    </w:p>
    <w:p w14:paraId="6242E471" w14:textId="09E61BA6" w:rsidR="009B7EAF" w:rsidRPr="001041B5" w:rsidRDefault="009B7EAF" w:rsidP="009B7EAF">
      <w:r w:rsidRPr="001041B5">
        <w:rPr>
          <w:lang w:val="en-AU"/>
        </w:rPr>
        <w:t xml:space="preserve">Te Poutāhū is the Curriculum Centre of the Ministry, and it is working with the </w:t>
      </w:r>
      <w:r w:rsidRPr="001041B5">
        <w:rPr>
          <w:lang w:val="en-US"/>
        </w:rPr>
        <w:t>Initial Teacher Education leads to run a series of hui to support the big curricula changes. These forums are likely to continue until 2025, to provide opportunities for ITEs to be informed and feedback on any upcoming national education curricula changes.  </w:t>
      </w:r>
    </w:p>
    <w:p w14:paraId="3B42ADAD" w14:textId="2201FB60" w:rsidR="009B7EAF" w:rsidRPr="001041B5" w:rsidRDefault="009B7EAF" w:rsidP="009B7EAF">
      <w:pPr>
        <w:rPr>
          <w:lang w:val="en-AU"/>
        </w:rPr>
      </w:pPr>
      <w:r w:rsidRPr="001041B5">
        <w:rPr>
          <w:lang w:val="en-AU"/>
        </w:rPr>
        <w:t>This Hui enabled many of the writers involved in the curriculum refresh to co-present. We provided an overview of the Literacy &amp; Communication, and Maths Strategy, the changes in The New Zealand Curriculum Refresh for Mathematics and Social Sciences, informed on the implementation support pack for leaders and teachers</w:t>
      </w:r>
      <w:r w:rsidR="004D0C52">
        <w:rPr>
          <w:lang w:val="en-AU"/>
        </w:rPr>
        <w:t>,</w:t>
      </w:r>
      <w:r w:rsidRPr="001041B5">
        <w:rPr>
          <w:lang w:val="en-AU"/>
        </w:rPr>
        <w:t xml:space="preserve"> and finally provided an update on Te Whāriki and the plans to gazette. </w:t>
      </w:r>
    </w:p>
    <w:p w14:paraId="5701328E" w14:textId="63FD43EE" w:rsidR="009B7EAF" w:rsidRPr="001041B5" w:rsidRDefault="009B7EAF" w:rsidP="009B7EAF">
      <w:pPr>
        <w:rPr>
          <w:lang w:val="en-AU"/>
        </w:rPr>
      </w:pPr>
    </w:p>
    <w:p w14:paraId="116433C8" w14:textId="77777777" w:rsidR="009B7EAF" w:rsidRPr="001041B5" w:rsidRDefault="009B7EAF" w:rsidP="009B7EAF">
      <w:pPr>
        <w:pStyle w:val="Heading2"/>
        <w:rPr>
          <w:color w:val="auto"/>
        </w:rPr>
      </w:pPr>
      <w:r w:rsidRPr="001041B5">
        <w:rPr>
          <w:color w:val="auto"/>
          <w:lang w:val="en-AU"/>
        </w:rPr>
        <w:t>Post-hui session overview</w:t>
      </w:r>
    </w:p>
    <w:p w14:paraId="0623F335" w14:textId="7EC0A1C2" w:rsidR="009B7EAF" w:rsidRPr="001041B5" w:rsidRDefault="009B7EAF" w:rsidP="009B7EAF"/>
    <w:p w14:paraId="3F0A9BAB" w14:textId="1D3D93DD" w:rsidR="009B7EAF" w:rsidRPr="001041B5" w:rsidRDefault="009B7EAF" w:rsidP="009B7EAF">
      <w:pPr>
        <w:pStyle w:val="Heading3"/>
        <w:rPr>
          <w:color w:val="auto"/>
        </w:rPr>
      </w:pPr>
      <w:r w:rsidRPr="001041B5">
        <w:rPr>
          <w:color w:val="auto"/>
        </w:rPr>
        <w:t xml:space="preserve">Session 1 </w:t>
      </w:r>
    </w:p>
    <w:p w14:paraId="3617B516" w14:textId="77777777" w:rsidR="00282638" w:rsidRPr="001041B5" w:rsidRDefault="00282638" w:rsidP="00282638">
      <w:pPr>
        <w:rPr>
          <w:i/>
          <w:iCs/>
        </w:rPr>
      </w:pPr>
      <w:r w:rsidRPr="001041B5">
        <w:rPr>
          <w:i/>
          <w:iCs/>
          <w:lang w:val="en-AU"/>
        </w:rPr>
        <w:t>Overview of the Literacy &amp; Communication and Maths Strategy </w:t>
      </w:r>
    </w:p>
    <w:p w14:paraId="468AD393" w14:textId="77777777" w:rsidR="00282638" w:rsidRPr="001041B5" w:rsidRDefault="00282638" w:rsidP="00282638">
      <w:pPr>
        <w:rPr>
          <w:i/>
          <w:iCs/>
          <w:lang w:val="en-AU"/>
        </w:rPr>
      </w:pPr>
      <w:r w:rsidRPr="001041B5">
        <w:rPr>
          <w:i/>
          <w:iCs/>
          <w:lang w:val="en-AU"/>
        </w:rPr>
        <w:t>Presenter</w:t>
      </w:r>
    </w:p>
    <w:p w14:paraId="56E38C49" w14:textId="77777777" w:rsidR="00282638" w:rsidRPr="001041B5" w:rsidRDefault="00282638" w:rsidP="00282638">
      <w:pPr>
        <w:rPr>
          <w:i/>
          <w:iCs/>
          <w:lang w:val="en-AU"/>
        </w:rPr>
      </w:pPr>
      <w:r w:rsidRPr="001041B5">
        <w:rPr>
          <w:i/>
          <w:iCs/>
          <w:lang w:val="en-AU"/>
        </w:rPr>
        <w:t>Giles Panting</w:t>
      </w:r>
    </w:p>
    <w:p w14:paraId="413957A0" w14:textId="379C0502" w:rsidR="00282638" w:rsidRPr="001041B5" w:rsidRDefault="00282638" w:rsidP="00282638">
      <w:pPr>
        <w:rPr>
          <w:i/>
          <w:iCs/>
          <w:lang w:val="en-AU"/>
        </w:rPr>
      </w:pPr>
      <w:r w:rsidRPr="001041B5">
        <w:rPr>
          <w:i/>
          <w:iCs/>
          <w:lang w:val="en-AU"/>
        </w:rPr>
        <w:t>Senior Manager</w:t>
      </w:r>
    </w:p>
    <w:p w14:paraId="084B46DF" w14:textId="77777777" w:rsidR="00282638" w:rsidRPr="001041B5" w:rsidRDefault="00282638" w:rsidP="00282638">
      <w:r w:rsidRPr="001041B5">
        <w:rPr>
          <w:lang w:val="en-AU"/>
        </w:rPr>
        <w:t>Session 1 provided an update of the Literacy &amp; Communication and Maths Strategy; outlining the purpose and planned development of the Common Practice Model and highlighted the proposed actions relating to the Teaching Council and ITEs. </w:t>
      </w:r>
    </w:p>
    <w:p w14:paraId="55F9D8C8" w14:textId="289039E6" w:rsidR="001041B5" w:rsidRPr="005F7D7E" w:rsidRDefault="00282638" w:rsidP="00282638">
      <w:pPr>
        <w:rPr>
          <w:i/>
          <w:iCs/>
          <w:u w:val="single"/>
          <w:lang w:val="en-GB"/>
        </w:rPr>
      </w:pPr>
      <w:r w:rsidRPr="005F7D7E">
        <w:rPr>
          <w:i/>
          <w:iCs/>
          <w:u w:val="single"/>
          <w:lang w:val="en-GB"/>
        </w:rPr>
        <w:t>Literacy &amp; Communication and Maths Strategy (education.govt.nz)</w:t>
      </w:r>
    </w:p>
    <w:p w14:paraId="3AD182BA" w14:textId="0D84BED3" w:rsidR="00282638" w:rsidRPr="005F7D7E" w:rsidRDefault="00282638" w:rsidP="005F7D7E">
      <w:pPr>
        <w:pStyle w:val="Heading3"/>
        <w:rPr>
          <w:color w:val="auto"/>
          <w:lang w:val="en-GB"/>
        </w:rPr>
      </w:pPr>
      <w:r w:rsidRPr="001041B5">
        <w:rPr>
          <w:color w:val="auto"/>
          <w:lang w:val="en-GB"/>
        </w:rPr>
        <w:t xml:space="preserve">Session 2 </w:t>
      </w:r>
    </w:p>
    <w:p w14:paraId="4600A675" w14:textId="77777777" w:rsidR="00282638" w:rsidRPr="001041B5" w:rsidRDefault="00282638" w:rsidP="00282638">
      <w:pPr>
        <w:rPr>
          <w:i/>
          <w:iCs/>
        </w:rPr>
      </w:pPr>
      <w:r w:rsidRPr="001041B5">
        <w:rPr>
          <w:i/>
          <w:iCs/>
          <w:lang w:val="en-AU"/>
        </w:rPr>
        <w:t>NZCR Update &amp; Implementation</w:t>
      </w:r>
    </w:p>
    <w:p w14:paraId="442198BD" w14:textId="0DB502AD" w:rsidR="00282638" w:rsidRPr="001041B5" w:rsidRDefault="00282638" w:rsidP="00282638">
      <w:pPr>
        <w:rPr>
          <w:lang w:val="en-AU"/>
        </w:rPr>
      </w:pPr>
      <w:r w:rsidRPr="001041B5">
        <w:rPr>
          <w:lang w:val="en-AU"/>
        </w:rPr>
        <w:t>Session 2 offered an overview of the refresh of The New Zealand Curriculum</w:t>
      </w:r>
      <w:r w:rsidR="72275B70" w:rsidRPr="247150D5">
        <w:rPr>
          <w:lang w:val="en-AU"/>
        </w:rPr>
        <w:t>,</w:t>
      </w:r>
      <w:r w:rsidRPr="001041B5">
        <w:rPr>
          <w:lang w:val="en-AU"/>
        </w:rPr>
        <w:t xml:space="preserve"> with a focus on two of the eight learning areas, these being Mathematics &amp; Statistics and Social Sciences. </w:t>
      </w:r>
    </w:p>
    <w:p w14:paraId="0B165E9D" w14:textId="7B7F133B" w:rsidR="001041B5" w:rsidRPr="001041B5" w:rsidRDefault="001041B5" w:rsidP="00282638">
      <w:pPr>
        <w:rPr>
          <w:lang w:val="en-AU"/>
        </w:rPr>
      </w:pPr>
    </w:p>
    <w:p w14:paraId="21BA8858" w14:textId="77777777" w:rsidR="001041B5" w:rsidRPr="001041B5" w:rsidRDefault="001041B5" w:rsidP="001041B5">
      <w:pPr>
        <w:rPr>
          <w:i/>
          <w:iCs/>
          <w:lang w:val="en-AU"/>
        </w:rPr>
      </w:pPr>
      <w:r w:rsidRPr="001041B5">
        <w:rPr>
          <w:i/>
          <w:iCs/>
          <w:lang w:val="en-AU"/>
        </w:rPr>
        <w:t>Pania Te Maro</w:t>
      </w:r>
    </w:p>
    <w:p w14:paraId="0C0D6573" w14:textId="1A777B72" w:rsidR="001041B5" w:rsidRPr="001041B5" w:rsidRDefault="001041B5" w:rsidP="001041B5">
      <w:pPr>
        <w:rPr>
          <w:i/>
          <w:iCs/>
          <w:lang w:val="en-AU"/>
        </w:rPr>
      </w:pPr>
      <w:r w:rsidRPr="001041B5">
        <w:rPr>
          <w:i/>
          <w:iCs/>
          <w:lang w:val="en-AU"/>
        </w:rPr>
        <w:t>Associate Director Māori, College of Humanities and Social Sciences, Te Kunenga ki Pūrehuroa Massey University</w:t>
      </w:r>
    </w:p>
    <w:p w14:paraId="74C77B2F" w14:textId="0705F1DB" w:rsidR="001041B5" w:rsidRPr="005F7D7E" w:rsidRDefault="001041B5" w:rsidP="001041B5">
      <w:r w:rsidRPr="001041B5">
        <w:rPr>
          <w:lang w:val="en-AU"/>
        </w:rPr>
        <w:t>Pania Te Maro spoke on the intention of the Mathematics and Statistics refresh, including what aspects needed to change and why, and how the content is evolving during the first draft of the learning area. </w:t>
      </w:r>
    </w:p>
    <w:p w14:paraId="52FDB30B" w14:textId="77777777" w:rsidR="001041B5" w:rsidRPr="001041B5" w:rsidRDefault="001041B5" w:rsidP="001041B5">
      <w:pPr>
        <w:rPr>
          <w:i/>
          <w:iCs/>
          <w:lang w:val="en-AU"/>
        </w:rPr>
      </w:pPr>
      <w:r w:rsidRPr="001041B5">
        <w:rPr>
          <w:i/>
          <w:iCs/>
          <w:lang w:val="en-AU"/>
        </w:rPr>
        <w:t>Bronwyn Wood</w:t>
      </w:r>
    </w:p>
    <w:p w14:paraId="69CA9D89" w14:textId="322DFB38" w:rsidR="001041B5" w:rsidRPr="001041B5" w:rsidRDefault="001041B5" w:rsidP="001041B5">
      <w:pPr>
        <w:rPr>
          <w:i/>
          <w:iCs/>
          <w:lang w:val="en-AU"/>
        </w:rPr>
      </w:pPr>
      <w:r w:rsidRPr="001041B5">
        <w:rPr>
          <w:i/>
          <w:iCs/>
          <w:lang w:val="en-AU"/>
        </w:rPr>
        <w:t>Senior Lecturer- School of Education Te Herenga Waka Victoria University of Education</w:t>
      </w:r>
    </w:p>
    <w:p w14:paraId="355D21C6" w14:textId="5AEB4BCF" w:rsidR="001041B5" w:rsidRPr="001041B5" w:rsidRDefault="001041B5" w:rsidP="001041B5">
      <w:pPr>
        <w:rPr>
          <w:lang w:val="en-AU"/>
        </w:rPr>
      </w:pPr>
      <w:r w:rsidRPr="001041B5">
        <w:rPr>
          <w:lang w:val="en-AU"/>
        </w:rPr>
        <w:t>Bronwyn Wood and Maia Hetaraka discussed the Social Sciences learning area, the first of the learning areas to be refreshed. This session included an exploration of what needed to change and why, what this meant for the essence statement</w:t>
      </w:r>
      <w:r w:rsidR="46D9313F" w:rsidRPr="247150D5">
        <w:rPr>
          <w:lang w:val="en-AU"/>
        </w:rPr>
        <w:t>,</w:t>
      </w:r>
      <w:r w:rsidRPr="001041B5">
        <w:rPr>
          <w:lang w:val="en-AU"/>
        </w:rPr>
        <w:t xml:space="preserve"> and the Understand Know Do statements within the learning area. </w:t>
      </w:r>
    </w:p>
    <w:p w14:paraId="290B6637" w14:textId="6D88138B" w:rsidR="001041B5" w:rsidRPr="001041B5" w:rsidRDefault="001041B5" w:rsidP="001041B5"/>
    <w:p w14:paraId="1D3805AE" w14:textId="77777777" w:rsidR="001041B5" w:rsidRPr="001041B5" w:rsidRDefault="001041B5" w:rsidP="001041B5">
      <w:pPr>
        <w:rPr>
          <w:i/>
          <w:iCs/>
          <w:lang w:val="en-AU"/>
        </w:rPr>
      </w:pPr>
      <w:r w:rsidRPr="001041B5">
        <w:rPr>
          <w:i/>
          <w:iCs/>
          <w:lang w:val="en-AU"/>
        </w:rPr>
        <w:t>Maia Hetaraka</w:t>
      </w:r>
    </w:p>
    <w:p w14:paraId="1862B149" w14:textId="6F5F3CFE" w:rsidR="001041B5" w:rsidRPr="001041B5" w:rsidRDefault="001041B5" w:rsidP="001041B5">
      <w:pPr>
        <w:rPr>
          <w:i/>
          <w:iCs/>
        </w:rPr>
      </w:pPr>
      <w:r w:rsidRPr="001041B5">
        <w:rPr>
          <w:i/>
          <w:iCs/>
          <w:lang w:val="en-AU"/>
        </w:rPr>
        <w:t>Director Tai Tokerau Campus- Faculty of Education and Social Work, Te Whare Wānanga o Tāmaki Makarua, University of Auckland</w:t>
      </w:r>
    </w:p>
    <w:p w14:paraId="19B37742" w14:textId="02E75747" w:rsidR="001041B5" w:rsidRPr="001041B5" w:rsidRDefault="001041B5" w:rsidP="001041B5">
      <w:pPr>
        <w:rPr>
          <w:lang w:val="en-AU"/>
        </w:rPr>
      </w:pPr>
      <w:r w:rsidRPr="001041B5">
        <w:rPr>
          <w:lang w:val="en-AU"/>
        </w:rPr>
        <w:t xml:space="preserve">Each learning area deep dive was followed by a breakout session with questions to be followed up by Ministry staff. </w:t>
      </w:r>
    </w:p>
    <w:p w14:paraId="645D1E1F" w14:textId="77777777" w:rsidR="001041B5" w:rsidRPr="001041B5" w:rsidRDefault="001041B5" w:rsidP="001041B5">
      <w:r w:rsidRPr="001041B5">
        <w:rPr>
          <w:lang w:val="en-AU"/>
        </w:rPr>
        <w:t xml:space="preserve">This session offered an overview of the Ministry’s approach to change and implementation to support the refreshed New Zealand curriculum.                       </w:t>
      </w:r>
    </w:p>
    <w:p w14:paraId="000BEBAE" w14:textId="7ED9ECB8" w:rsidR="001041B5" w:rsidRPr="00E45D82" w:rsidRDefault="00E45D82" w:rsidP="001041B5">
      <w:pPr>
        <w:rPr>
          <w:u w:val="single"/>
        </w:rPr>
      </w:pPr>
      <w:r>
        <w:rPr>
          <w:u w:val="single"/>
          <w:lang w:val="en-GB"/>
        </w:rPr>
        <w:t>https://</w:t>
      </w:r>
      <w:r w:rsidR="001041B5" w:rsidRPr="00E45D82">
        <w:rPr>
          <w:u w:val="single"/>
          <w:lang w:val="en-GB"/>
        </w:rPr>
        <w:t>curriculumrefresh.education.govt.nz</w:t>
      </w:r>
    </w:p>
    <w:p w14:paraId="05CC3BB8" w14:textId="6A9015C7" w:rsidR="001041B5" w:rsidRPr="001041B5" w:rsidRDefault="001041B5" w:rsidP="001041B5"/>
    <w:p w14:paraId="0AD79CAC" w14:textId="77777777" w:rsidR="001041B5" w:rsidRPr="001041B5" w:rsidRDefault="001041B5" w:rsidP="001041B5">
      <w:pPr>
        <w:rPr>
          <w:i/>
          <w:iCs/>
          <w:lang w:val="en-AU"/>
        </w:rPr>
      </w:pPr>
      <w:r w:rsidRPr="001041B5">
        <w:rPr>
          <w:i/>
          <w:iCs/>
          <w:lang w:val="en-AU"/>
        </w:rPr>
        <w:t>Presenter</w:t>
      </w:r>
    </w:p>
    <w:p w14:paraId="0CA23B18" w14:textId="77777777" w:rsidR="001041B5" w:rsidRPr="001041B5" w:rsidRDefault="001041B5" w:rsidP="001041B5">
      <w:pPr>
        <w:rPr>
          <w:i/>
          <w:iCs/>
          <w:lang w:val="en-AU"/>
        </w:rPr>
      </w:pPr>
      <w:r w:rsidRPr="001041B5">
        <w:rPr>
          <w:i/>
          <w:iCs/>
          <w:lang w:val="en-AU"/>
        </w:rPr>
        <w:t>Cat Lunjevich</w:t>
      </w:r>
    </w:p>
    <w:p w14:paraId="46C1BB92" w14:textId="23EFBBF0" w:rsidR="001041B5" w:rsidRPr="001041B5" w:rsidRDefault="001041B5" w:rsidP="001041B5">
      <w:pPr>
        <w:rPr>
          <w:i/>
          <w:iCs/>
          <w:lang w:val="en-AU"/>
        </w:rPr>
      </w:pPr>
      <w:r w:rsidRPr="001041B5">
        <w:rPr>
          <w:i/>
          <w:iCs/>
          <w:lang w:val="en-AU"/>
        </w:rPr>
        <w:t xml:space="preserve">Principal Advisor </w:t>
      </w:r>
    </w:p>
    <w:p w14:paraId="3F09A248" w14:textId="2294B157" w:rsidR="001041B5" w:rsidRPr="001041B5" w:rsidRDefault="001041B5" w:rsidP="001041B5">
      <w:pPr>
        <w:rPr>
          <w:lang w:val="en-AU"/>
        </w:rPr>
      </w:pPr>
      <w:r w:rsidRPr="001041B5">
        <w:rPr>
          <w:lang w:val="en-AU"/>
        </w:rPr>
        <w:t>Cat Lunjevich described the overarching goals of the refresh and how these can be seen coming to life in each learning area, including some of the features that are consistent across all areas. She also indicated where there were further opportunities to be involved in the work.</w:t>
      </w:r>
    </w:p>
    <w:p w14:paraId="3D6418B1" w14:textId="44142015" w:rsidR="001041B5" w:rsidRPr="001041B5" w:rsidRDefault="001041B5" w:rsidP="001041B5">
      <w:pPr>
        <w:rPr>
          <w:lang w:val="en-AU"/>
        </w:rPr>
      </w:pPr>
    </w:p>
    <w:p w14:paraId="7F71ED8C" w14:textId="77777777" w:rsidR="001041B5" w:rsidRPr="001041B5" w:rsidRDefault="001041B5" w:rsidP="001041B5">
      <w:pPr>
        <w:rPr>
          <w:i/>
          <w:iCs/>
          <w:lang w:val="en-AU"/>
        </w:rPr>
      </w:pPr>
      <w:r w:rsidRPr="001041B5">
        <w:rPr>
          <w:i/>
          <w:iCs/>
          <w:lang w:val="en-AU"/>
        </w:rPr>
        <w:t xml:space="preserve">Karen Spencer </w:t>
      </w:r>
    </w:p>
    <w:p w14:paraId="50B309CC" w14:textId="77777777" w:rsidR="001041B5" w:rsidRPr="001041B5" w:rsidRDefault="001041B5" w:rsidP="001041B5">
      <w:pPr>
        <w:rPr>
          <w:i/>
          <w:iCs/>
          <w:lang w:val="en-AU"/>
        </w:rPr>
      </w:pPr>
      <w:r w:rsidRPr="001041B5">
        <w:rPr>
          <w:i/>
          <w:iCs/>
          <w:lang w:val="en-AU"/>
        </w:rPr>
        <w:t>Principal Advisor</w:t>
      </w:r>
    </w:p>
    <w:p w14:paraId="4E5CC7EB" w14:textId="77777777" w:rsidR="001041B5" w:rsidRPr="001041B5" w:rsidRDefault="001041B5" w:rsidP="001041B5">
      <w:pPr>
        <w:rPr>
          <w:lang w:val="en-AU"/>
        </w:rPr>
      </w:pPr>
      <w:r w:rsidRPr="001041B5">
        <w:rPr>
          <w:lang w:val="en-AU"/>
        </w:rPr>
        <w:t xml:space="preserve">Karen Spencer described the shared Kaupapa developed by the Curriculum Voices Group as an important piece to convey the key rationale for change. The phased approach, in which schools can start from where they are, and step into the refresh building on existing capabilities over the next three years, was described. </w:t>
      </w:r>
    </w:p>
    <w:p w14:paraId="586E5F22" w14:textId="77777777" w:rsidR="001041B5" w:rsidRPr="001041B5" w:rsidRDefault="001041B5" w:rsidP="001041B5">
      <w:pPr>
        <w:rPr>
          <w:lang w:val="en-AU"/>
        </w:rPr>
      </w:pPr>
      <w:r w:rsidRPr="001041B5">
        <w:rPr>
          <w:lang w:val="en-AU"/>
        </w:rPr>
        <w:t xml:space="preserve">The draft Implementation Support Pack for Leaders and Teachers was shared and briefly outlined. Due to time constraints a breakout session did not occur. </w:t>
      </w:r>
    </w:p>
    <w:p w14:paraId="1D44703F" w14:textId="306C57F9" w:rsidR="001041B5" w:rsidRPr="00AA143D" w:rsidRDefault="001041B5" w:rsidP="001041B5">
      <w:pPr>
        <w:rPr>
          <w:u w:val="single"/>
          <w:lang w:val="en-AU"/>
        </w:rPr>
      </w:pPr>
      <w:r w:rsidRPr="001041B5">
        <w:rPr>
          <w:lang w:val="en-AU"/>
        </w:rPr>
        <w:t xml:space="preserve">Attendees are welcome to send questions to us through the following email address. </w:t>
      </w:r>
      <w:r w:rsidRPr="00AA143D">
        <w:rPr>
          <w:u w:val="single"/>
          <w:lang w:val="en-AU"/>
        </w:rPr>
        <w:t>NationalCurriculum.Refresh@education.govt.nz</w:t>
      </w:r>
    </w:p>
    <w:p w14:paraId="05CE1CB0" w14:textId="77777777" w:rsidR="001041B5" w:rsidRPr="001041B5" w:rsidRDefault="001041B5" w:rsidP="001041B5">
      <w:pPr>
        <w:rPr>
          <w:lang w:val="en-AU"/>
        </w:rPr>
      </w:pPr>
      <w:r w:rsidRPr="001041B5">
        <w:rPr>
          <w:lang w:val="en-AU"/>
        </w:rPr>
        <w:t>For more information on the Curriculum Voice Group see this link:</w:t>
      </w:r>
    </w:p>
    <w:p w14:paraId="59D89FB5" w14:textId="2E4FF5FF" w:rsidR="001041B5" w:rsidRPr="00AA143D" w:rsidRDefault="001041B5" w:rsidP="001041B5">
      <w:pPr>
        <w:rPr>
          <w:u w:val="single"/>
          <w:lang w:val="en-AU"/>
        </w:rPr>
      </w:pPr>
      <w:r w:rsidRPr="00AA143D">
        <w:rPr>
          <w:u w:val="single"/>
          <w:lang w:val="en-AU"/>
        </w:rPr>
        <w:t>Terms-of-Reference-Curriculum-Voices-Group.pdf (education.govt.nz)</w:t>
      </w:r>
    </w:p>
    <w:p w14:paraId="7C3EA384" w14:textId="0A13F784" w:rsidR="001041B5" w:rsidRPr="001041B5" w:rsidRDefault="001041B5" w:rsidP="001041B5">
      <w:pPr>
        <w:rPr>
          <w:lang w:val="en-AU"/>
        </w:rPr>
      </w:pPr>
    </w:p>
    <w:p w14:paraId="3B0B4078" w14:textId="26BA99E8" w:rsidR="001041B5" w:rsidRPr="001041B5" w:rsidRDefault="001041B5" w:rsidP="001041B5">
      <w:pPr>
        <w:pStyle w:val="Heading3"/>
        <w:rPr>
          <w:color w:val="auto"/>
          <w:lang w:val="en-AU"/>
        </w:rPr>
      </w:pPr>
      <w:r w:rsidRPr="001041B5">
        <w:rPr>
          <w:color w:val="auto"/>
          <w:lang w:val="en-AU"/>
        </w:rPr>
        <w:t>Session 3</w:t>
      </w:r>
    </w:p>
    <w:p w14:paraId="5DF2ED52" w14:textId="77777777" w:rsidR="001041B5" w:rsidRPr="001041B5" w:rsidRDefault="001041B5" w:rsidP="001041B5">
      <w:pPr>
        <w:rPr>
          <w:i/>
          <w:iCs/>
        </w:rPr>
      </w:pPr>
      <w:r w:rsidRPr="001041B5">
        <w:rPr>
          <w:i/>
          <w:iCs/>
          <w:lang w:val="en-AU"/>
        </w:rPr>
        <w:t>The Early Learning Curriculum work programme and priorities Gazetting the full framework of Te Whāriki</w:t>
      </w:r>
    </w:p>
    <w:p w14:paraId="4B875A39" w14:textId="77777777" w:rsidR="001041B5" w:rsidRPr="001041B5" w:rsidRDefault="001041B5" w:rsidP="001041B5">
      <w:pPr>
        <w:rPr>
          <w:i/>
          <w:iCs/>
        </w:rPr>
      </w:pPr>
      <w:r w:rsidRPr="001041B5">
        <w:rPr>
          <w:i/>
          <w:iCs/>
          <w:lang w:val="en-AU"/>
        </w:rPr>
        <w:t>Presenter</w:t>
      </w:r>
    </w:p>
    <w:p w14:paraId="229D2B14" w14:textId="77777777" w:rsidR="001041B5" w:rsidRPr="001041B5" w:rsidRDefault="001041B5" w:rsidP="001041B5">
      <w:pPr>
        <w:rPr>
          <w:i/>
          <w:iCs/>
        </w:rPr>
      </w:pPr>
      <w:r w:rsidRPr="001041B5">
        <w:rPr>
          <w:i/>
          <w:iCs/>
          <w:lang w:val="en-AU"/>
        </w:rPr>
        <w:t>Jane Ewens </w:t>
      </w:r>
    </w:p>
    <w:p w14:paraId="5FAF2A34" w14:textId="12A1F2D7" w:rsidR="001041B5" w:rsidRPr="001041B5" w:rsidRDefault="001041B5" w:rsidP="001041B5">
      <w:pPr>
        <w:rPr>
          <w:i/>
          <w:iCs/>
          <w:lang w:val="en-AU"/>
        </w:rPr>
      </w:pPr>
      <w:r w:rsidRPr="001041B5">
        <w:rPr>
          <w:i/>
          <w:iCs/>
          <w:lang w:val="en-AU"/>
        </w:rPr>
        <w:t>Manager Early Learning Curriculum</w:t>
      </w:r>
    </w:p>
    <w:p w14:paraId="6CB034FA" w14:textId="77777777" w:rsidR="001041B5" w:rsidRPr="001041B5" w:rsidRDefault="001041B5" w:rsidP="001041B5">
      <w:r w:rsidRPr="001041B5">
        <w:rPr>
          <w:lang w:val="en-AU"/>
        </w:rPr>
        <w:t>In Session 3, Jane Ewens provided an overview of the early learning curriculum team’s work programme including the team’s priorities, key focus areas and initiatives, together with the rationale for action. </w:t>
      </w:r>
    </w:p>
    <w:p w14:paraId="3EED5986" w14:textId="77777777" w:rsidR="001041B5" w:rsidRPr="001041B5" w:rsidRDefault="001041B5" w:rsidP="001041B5">
      <w:r w:rsidRPr="001041B5">
        <w:rPr>
          <w:lang w:val="en-AU"/>
        </w:rPr>
        <w:t>Jane also provided an outline of the outcomes of the consultation on gazetting the full framework of Te Whāriki He Whāriki mō ngā Mokopuna o Aotearoa. </w:t>
      </w:r>
    </w:p>
    <w:p w14:paraId="32904984" w14:textId="77777777" w:rsidR="001041B5" w:rsidRPr="001041B5" w:rsidRDefault="001041B5" w:rsidP="001041B5">
      <w:r w:rsidRPr="001041B5">
        <w:rPr>
          <w:lang w:val="en-AU"/>
        </w:rPr>
        <w:t>This outline included the consultation approach and the key themes that arose during the process. The session was rounded off with some of the key considerations the Ministry will be applying when making recommendations to the Minister as well as the proposed implementation plan. </w:t>
      </w:r>
    </w:p>
    <w:p w14:paraId="4D9D4D0E" w14:textId="5750D3DF" w:rsidR="009B7EAF" w:rsidRPr="001041B5" w:rsidRDefault="001041B5" w:rsidP="001041B5">
      <w:pPr>
        <w:rPr>
          <w:lang w:val="en-GB"/>
        </w:rPr>
      </w:pPr>
      <w:r w:rsidRPr="001041B5">
        <w:rPr>
          <w:lang w:val="en-AU"/>
        </w:rPr>
        <w:t xml:space="preserve">For more information on </w:t>
      </w:r>
      <w:r w:rsidRPr="001041B5">
        <w:rPr>
          <w:i/>
          <w:iCs/>
          <w:lang w:val="en-AU"/>
        </w:rPr>
        <w:t xml:space="preserve">Te Whāriki </w:t>
      </w:r>
      <w:r w:rsidRPr="001041B5">
        <w:rPr>
          <w:lang w:val="en-AU"/>
        </w:rPr>
        <w:t>see</w:t>
      </w:r>
      <w:r w:rsidR="005521DE">
        <w:rPr>
          <w:lang w:val="en-AU"/>
        </w:rPr>
        <w:t>:</w:t>
      </w:r>
      <w:r w:rsidRPr="001041B5">
        <w:rPr>
          <w:lang w:val="en-AU"/>
        </w:rPr>
        <w:t xml:space="preserve"> </w:t>
      </w:r>
      <w:r w:rsidRPr="001041B5">
        <w:rPr>
          <w:lang w:val="en-GB"/>
        </w:rPr>
        <w:t>https://tewhariki.tki.org.nz/</w:t>
      </w:r>
    </w:p>
    <w:p w14:paraId="272B50F4" w14:textId="77777777" w:rsidR="001041B5" w:rsidRPr="001041B5" w:rsidRDefault="001041B5" w:rsidP="001041B5">
      <w:pPr>
        <w:rPr>
          <w:lang w:val="en-GB"/>
        </w:rPr>
      </w:pPr>
    </w:p>
    <w:p w14:paraId="3FC33536" w14:textId="6EE0C0EA" w:rsidR="004F4945" w:rsidRPr="001041B5" w:rsidRDefault="004F4945" w:rsidP="004F4945">
      <w:pPr>
        <w:pStyle w:val="Heading3"/>
        <w:rPr>
          <w:color w:val="auto"/>
          <w:sz w:val="28"/>
          <w:szCs w:val="28"/>
        </w:rPr>
      </w:pPr>
      <w:r w:rsidRPr="001041B5">
        <w:rPr>
          <w:color w:val="auto"/>
          <w:sz w:val="28"/>
          <w:szCs w:val="28"/>
        </w:rPr>
        <w:t>Key agreed outcomes from this hui</w:t>
      </w:r>
    </w:p>
    <w:p w14:paraId="4D30FF86" w14:textId="77777777" w:rsidR="004F4945" w:rsidRPr="001041B5" w:rsidRDefault="004F4945" w:rsidP="004F4945">
      <w:pPr>
        <w:pStyle w:val="ListParagraph"/>
        <w:numPr>
          <w:ilvl w:val="0"/>
          <w:numId w:val="1"/>
        </w:numPr>
      </w:pPr>
      <w:r w:rsidRPr="001041B5">
        <w:rPr>
          <w:lang w:val="en-AU"/>
        </w:rPr>
        <w:t>To use these sessions to brief the audience on key pieces of work and curriculum changes being led by Te Poutāhū - the Curriculum Centre.</w:t>
      </w:r>
    </w:p>
    <w:p w14:paraId="1316B953" w14:textId="2C2B06D4" w:rsidR="004F4945" w:rsidRPr="001041B5" w:rsidRDefault="004F4945" w:rsidP="004F4945">
      <w:pPr>
        <w:pStyle w:val="ListParagraph"/>
        <w:numPr>
          <w:ilvl w:val="0"/>
          <w:numId w:val="1"/>
        </w:numPr>
      </w:pPr>
      <w:r w:rsidRPr="001041B5">
        <w:rPr>
          <w:lang w:val="en-US"/>
        </w:rPr>
        <w:t>To introduce ITE representatives who played a role in the design thinking and contributed to the refresh of the Curriculum.</w:t>
      </w:r>
    </w:p>
    <w:p w14:paraId="0FF192D2" w14:textId="77777777" w:rsidR="004F4945" w:rsidRPr="001041B5" w:rsidRDefault="004F4945" w:rsidP="004F4945">
      <w:pPr>
        <w:pStyle w:val="ListParagraph"/>
        <w:numPr>
          <w:ilvl w:val="0"/>
          <w:numId w:val="1"/>
        </w:numPr>
      </w:pPr>
      <w:r w:rsidRPr="001041B5">
        <w:rPr>
          <w:lang w:val="en-AU"/>
        </w:rPr>
        <w:t>To use these sessions to generate conversations, through the breakout groups, to influence the policy thinking, supporting the draft design.</w:t>
      </w:r>
    </w:p>
    <w:p w14:paraId="7D1AD41D" w14:textId="2030B319" w:rsidR="004F4945" w:rsidRPr="004F4945" w:rsidRDefault="004F4945" w:rsidP="004F4945">
      <w:pPr>
        <w:ind w:left="360"/>
        <w:rPr>
          <w:sz w:val="24"/>
          <w:szCs w:val="24"/>
        </w:rPr>
      </w:pPr>
    </w:p>
    <w:sectPr w:rsidR="004F4945" w:rsidRPr="004F4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D0F42"/>
    <w:multiLevelType w:val="hybridMultilevel"/>
    <w:tmpl w:val="3B741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1099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AF"/>
    <w:rsid w:val="001041B5"/>
    <w:rsid w:val="00116FB2"/>
    <w:rsid w:val="00214D71"/>
    <w:rsid w:val="00282638"/>
    <w:rsid w:val="003D18B3"/>
    <w:rsid w:val="0041397F"/>
    <w:rsid w:val="004C2AA9"/>
    <w:rsid w:val="004D0C52"/>
    <w:rsid w:val="004F4945"/>
    <w:rsid w:val="005521DE"/>
    <w:rsid w:val="005F7D7E"/>
    <w:rsid w:val="00761D9B"/>
    <w:rsid w:val="007643D0"/>
    <w:rsid w:val="00887446"/>
    <w:rsid w:val="009B7EAF"/>
    <w:rsid w:val="009F4728"/>
    <w:rsid w:val="00AA143D"/>
    <w:rsid w:val="00B670A5"/>
    <w:rsid w:val="00C0261A"/>
    <w:rsid w:val="00C224FE"/>
    <w:rsid w:val="00C4534F"/>
    <w:rsid w:val="00E45D82"/>
    <w:rsid w:val="247150D5"/>
    <w:rsid w:val="46D9313F"/>
    <w:rsid w:val="72275B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7271"/>
  <w15:docId w15:val="{957188D9-FE52-48B2-9DD7-65CEA39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7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7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E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7E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7EA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B7EAF"/>
    <w:rPr>
      <w:color w:val="0563C1" w:themeColor="hyperlink"/>
      <w:u w:val="single"/>
    </w:rPr>
  </w:style>
  <w:style w:type="character" w:styleId="UnresolvedMention">
    <w:name w:val="Unresolved Mention"/>
    <w:basedOn w:val="DefaultParagraphFont"/>
    <w:uiPriority w:val="99"/>
    <w:semiHidden/>
    <w:unhideWhenUsed/>
    <w:rsid w:val="009B7EAF"/>
    <w:rPr>
      <w:color w:val="605E5C"/>
      <w:shd w:val="clear" w:color="auto" w:fill="E1DFDD"/>
    </w:rPr>
  </w:style>
  <w:style w:type="paragraph" w:styleId="ListParagraph">
    <w:name w:val="List Paragraph"/>
    <w:basedOn w:val="Normal"/>
    <w:uiPriority w:val="34"/>
    <w:qFormat/>
    <w:rsid w:val="004F4945"/>
    <w:pPr>
      <w:ind w:left="720"/>
      <w:contextualSpacing/>
    </w:pPr>
  </w:style>
  <w:style w:type="table" w:styleId="PlainTable3">
    <w:name w:val="Plain Table 3"/>
    <w:basedOn w:val="TableNormal"/>
    <w:uiPriority w:val="43"/>
    <w:rsid w:val="004F49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12">
      <w:bodyDiv w:val="1"/>
      <w:marLeft w:val="0"/>
      <w:marRight w:val="0"/>
      <w:marTop w:val="0"/>
      <w:marBottom w:val="0"/>
      <w:divBdr>
        <w:top w:val="none" w:sz="0" w:space="0" w:color="auto"/>
        <w:left w:val="none" w:sz="0" w:space="0" w:color="auto"/>
        <w:bottom w:val="none" w:sz="0" w:space="0" w:color="auto"/>
        <w:right w:val="none" w:sz="0" w:space="0" w:color="auto"/>
      </w:divBdr>
    </w:div>
    <w:div w:id="158497390">
      <w:bodyDiv w:val="1"/>
      <w:marLeft w:val="0"/>
      <w:marRight w:val="0"/>
      <w:marTop w:val="0"/>
      <w:marBottom w:val="0"/>
      <w:divBdr>
        <w:top w:val="none" w:sz="0" w:space="0" w:color="auto"/>
        <w:left w:val="none" w:sz="0" w:space="0" w:color="auto"/>
        <w:bottom w:val="none" w:sz="0" w:space="0" w:color="auto"/>
        <w:right w:val="none" w:sz="0" w:space="0" w:color="auto"/>
      </w:divBdr>
    </w:div>
    <w:div w:id="215746235">
      <w:bodyDiv w:val="1"/>
      <w:marLeft w:val="0"/>
      <w:marRight w:val="0"/>
      <w:marTop w:val="0"/>
      <w:marBottom w:val="0"/>
      <w:divBdr>
        <w:top w:val="none" w:sz="0" w:space="0" w:color="auto"/>
        <w:left w:val="none" w:sz="0" w:space="0" w:color="auto"/>
        <w:bottom w:val="none" w:sz="0" w:space="0" w:color="auto"/>
        <w:right w:val="none" w:sz="0" w:space="0" w:color="auto"/>
      </w:divBdr>
    </w:div>
    <w:div w:id="339739603">
      <w:bodyDiv w:val="1"/>
      <w:marLeft w:val="0"/>
      <w:marRight w:val="0"/>
      <w:marTop w:val="0"/>
      <w:marBottom w:val="0"/>
      <w:divBdr>
        <w:top w:val="none" w:sz="0" w:space="0" w:color="auto"/>
        <w:left w:val="none" w:sz="0" w:space="0" w:color="auto"/>
        <w:bottom w:val="none" w:sz="0" w:space="0" w:color="auto"/>
        <w:right w:val="none" w:sz="0" w:space="0" w:color="auto"/>
      </w:divBdr>
    </w:div>
    <w:div w:id="345792419">
      <w:bodyDiv w:val="1"/>
      <w:marLeft w:val="0"/>
      <w:marRight w:val="0"/>
      <w:marTop w:val="0"/>
      <w:marBottom w:val="0"/>
      <w:divBdr>
        <w:top w:val="none" w:sz="0" w:space="0" w:color="auto"/>
        <w:left w:val="none" w:sz="0" w:space="0" w:color="auto"/>
        <w:bottom w:val="none" w:sz="0" w:space="0" w:color="auto"/>
        <w:right w:val="none" w:sz="0" w:space="0" w:color="auto"/>
      </w:divBdr>
    </w:div>
    <w:div w:id="368728517">
      <w:bodyDiv w:val="1"/>
      <w:marLeft w:val="0"/>
      <w:marRight w:val="0"/>
      <w:marTop w:val="0"/>
      <w:marBottom w:val="0"/>
      <w:divBdr>
        <w:top w:val="none" w:sz="0" w:space="0" w:color="auto"/>
        <w:left w:val="none" w:sz="0" w:space="0" w:color="auto"/>
        <w:bottom w:val="none" w:sz="0" w:space="0" w:color="auto"/>
        <w:right w:val="none" w:sz="0" w:space="0" w:color="auto"/>
      </w:divBdr>
    </w:div>
    <w:div w:id="521093750">
      <w:bodyDiv w:val="1"/>
      <w:marLeft w:val="0"/>
      <w:marRight w:val="0"/>
      <w:marTop w:val="0"/>
      <w:marBottom w:val="0"/>
      <w:divBdr>
        <w:top w:val="none" w:sz="0" w:space="0" w:color="auto"/>
        <w:left w:val="none" w:sz="0" w:space="0" w:color="auto"/>
        <w:bottom w:val="none" w:sz="0" w:space="0" w:color="auto"/>
        <w:right w:val="none" w:sz="0" w:space="0" w:color="auto"/>
      </w:divBdr>
    </w:div>
    <w:div w:id="563639153">
      <w:bodyDiv w:val="1"/>
      <w:marLeft w:val="0"/>
      <w:marRight w:val="0"/>
      <w:marTop w:val="0"/>
      <w:marBottom w:val="0"/>
      <w:divBdr>
        <w:top w:val="none" w:sz="0" w:space="0" w:color="auto"/>
        <w:left w:val="none" w:sz="0" w:space="0" w:color="auto"/>
        <w:bottom w:val="none" w:sz="0" w:space="0" w:color="auto"/>
        <w:right w:val="none" w:sz="0" w:space="0" w:color="auto"/>
      </w:divBdr>
    </w:div>
    <w:div w:id="649019940">
      <w:bodyDiv w:val="1"/>
      <w:marLeft w:val="0"/>
      <w:marRight w:val="0"/>
      <w:marTop w:val="0"/>
      <w:marBottom w:val="0"/>
      <w:divBdr>
        <w:top w:val="none" w:sz="0" w:space="0" w:color="auto"/>
        <w:left w:val="none" w:sz="0" w:space="0" w:color="auto"/>
        <w:bottom w:val="none" w:sz="0" w:space="0" w:color="auto"/>
        <w:right w:val="none" w:sz="0" w:space="0" w:color="auto"/>
      </w:divBdr>
    </w:div>
    <w:div w:id="731465103">
      <w:bodyDiv w:val="1"/>
      <w:marLeft w:val="0"/>
      <w:marRight w:val="0"/>
      <w:marTop w:val="0"/>
      <w:marBottom w:val="0"/>
      <w:divBdr>
        <w:top w:val="none" w:sz="0" w:space="0" w:color="auto"/>
        <w:left w:val="none" w:sz="0" w:space="0" w:color="auto"/>
        <w:bottom w:val="none" w:sz="0" w:space="0" w:color="auto"/>
        <w:right w:val="none" w:sz="0" w:space="0" w:color="auto"/>
      </w:divBdr>
    </w:div>
    <w:div w:id="736977171">
      <w:bodyDiv w:val="1"/>
      <w:marLeft w:val="0"/>
      <w:marRight w:val="0"/>
      <w:marTop w:val="0"/>
      <w:marBottom w:val="0"/>
      <w:divBdr>
        <w:top w:val="none" w:sz="0" w:space="0" w:color="auto"/>
        <w:left w:val="none" w:sz="0" w:space="0" w:color="auto"/>
        <w:bottom w:val="none" w:sz="0" w:space="0" w:color="auto"/>
        <w:right w:val="none" w:sz="0" w:space="0" w:color="auto"/>
      </w:divBdr>
    </w:div>
    <w:div w:id="901256979">
      <w:bodyDiv w:val="1"/>
      <w:marLeft w:val="0"/>
      <w:marRight w:val="0"/>
      <w:marTop w:val="0"/>
      <w:marBottom w:val="0"/>
      <w:divBdr>
        <w:top w:val="none" w:sz="0" w:space="0" w:color="auto"/>
        <w:left w:val="none" w:sz="0" w:space="0" w:color="auto"/>
        <w:bottom w:val="none" w:sz="0" w:space="0" w:color="auto"/>
        <w:right w:val="none" w:sz="0" w:space="0" w:color="auto"/>
      </w:divBdr>
    </w:div>
    <w:div w:id="1536769963">
      <w:bodyDiv w:val="1"/>
      <w:marLeft w:val="0"/>
      <w:marRight w:val="0"/>
      <w:marTop w:val="0"/>
      <w:marBottom w:val="0"/>
      <w:divBdr>
        <w:top w:val="none" w:sz="0" w:space="0" w:color="auto"/>
        <w:left w:val="none" w:sz="0" w:space="0" w:color="auto"/>
        <w:bottom w:val="none" w:sz="0" w:space="0" w:color="auto"/>
        <w:right w:val="none" w:sz="0" w:space="0" w:color="auto"/>
      </w:divBdr>
    </w:div>
    <w:div w:id="1554924560">
      <w:bodyDiv w:val="1"/>
      <w:marLeft w:val="0"/>
      <w:marRight w:val="0"/>
      <w:marTop w:val="0"/>
      <w:marBottom w:val="0"/>
      <w:divBdr>
        <w:top w:val="none" w:sz="0" w:space="0" w:color="auto"/>
        <w:left w:val="none" w:sz="0" w:space="0" w:color="auto"/>
        <w:bottom w:val="none" w:sz="0" w:space="0" w:color="auto"/>
        <w:right w:val="none" w:sz="0" w:space="0" w:color="auto"/>
      </w:divBdr>
    </w:div>
    <w:div w:id="1728187149">
      <w:bodyDiv w:val="1"/>
      <w:marLeft w:val="0"/>
      <w:marRight w:val="0"/>
      <w:marTop w:val="0"/>
      <w:marBottom w:val="0"/>
      <w:divBdr>
        <w:top w:val="none" w:sz="0" w:space="0" w:color="auto"/>
        <w:left w:val="none" w:sz="0" w:space="0" w:color="auto"/>
        <w:bottom w:val="none" w:sz="0" w:space="0" w:color="auto"/>
        <w:right w:val="none" w:sz="0" w:space="0" w:color="auto"/>
      </w:divBdr>
    </w:div>
    <w:div w:id="1755780676">
      <w:bodyDiv w:val="1"/>
      <w:marLeft w:val="0"/>
      <w:marRight w:val="0"/>
      <w:marTop w:val="0"/>
      <w:marBottom w:val="0"/>
      <w:divBdr>
        <w:top w:val="none" w:sz="0" w:space="0" w:color="auto"/>
        <w:left w:val="none" w:sz="0" w:space="0" w:color="auto"/>
        <w:bottom w:val="none" w:sz="0" w:space="0" w:color="auto"/>
        <w:right w:val="none" w:sz="0" w:space="0" w:color="auto"/>
      </w:divBdr>
    </w:div>
    <w:div w:id="1849563904">
      <w:bodyDiv w:val="1"/>
      <w:marLeft w:val="0"/>
      <w:marRight w:val="0"/>
      <w:marTop w:val="0"/>
      <w:marBottom w:val="0"/>
      <w:divBdr>
        <w:top w:val="none" w:sz="0" w:space="0" w:color="auto"/>
        <w:left w:val="none" w:sz="0" w:space="0" w:color="auto"/>
        <w:bottom w:val="none" w:sz="0" w:space="0" w:color="auto"/>
        <w:right w:val="none" w:sz="0" w:space="0" w:color="auto"/>
      </w:divBdr>
    </w:div>
    <w:div w:id="1891769187">
      <w:bodyDiv w:val="1"/>
      <w:marLeft w:val="0"/>
      <w:marRight w:val="0"/>
      <w:marTop w:val="0"/>
      <w:marBottom w:val="0"/>
      <w:divBdr>
        <w:top w:val="none" w:sz="0" w:space="0" w:color="auto"/>
        <w:left w:val="none" w:sz="0" w:space="0" w:color="auto"/>
        <w:bottom w:val="none" w:sz="0" w:space="0" w:color="auto"/>
        <w:right w:val="none" w:sz="0" w:space="0" w:color="auto"/>
      </w:divBdr>
    </w:div>
    <w:div w:id="1931967823">
      <w:bodyDiv w:val="1"/>
      <w:marLeft w:val="0"/>
      <w:marRight w:val="0"/>
      <w:marTop w:val="0"/>
      <w:marBottom w:val="0"/>
      <w:divBdr>
        <w:top w:val="none" w:sz="0" w:space="0" w:color="auto"/>
        <w:left w:val="none" w:sz="0" w:space="0" w:color="auto"/>
        <w:bottom w:val="none" w:sz="0" w:space="0" w:color="auto"/>
        <w:right w:val="none" w:sz="0" w:space="0" w:color="auto"/>
      </w:divBdr>
    </w:div>
    <w:div w:id="200042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a51c35-fe07-45dc-a7d2-ceec8ad90605"/>
    <lcf76f155ced4ddcb4097134ff3c332f xmlns="8a86e90f-9485-48b1-9cd8-cd52196d7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2A7C3AAF79946A0213F1E712B46BA" ma:contentTypeVersion="15" ma:contentTypeDescription="Create a new document." ma:contentTypeScope="" ma:versionID="659bbd6f85484834dee0824aeec39379">
  <xsd:schema xmlns:xsd="http://www.w3.org/2001/XMLSchema" xmlns:xs="http://www.w3.org/2001/XMLSchema" xmlns:p="http://schemas.microsoft.com/office/2006/metadata/properties" xmlns:ns2="8a86e90f-9485-48b1-9cd8-cd52196d7331" xmlns:ns3="d1a51c35-fe07-45dc-a7d2-ceec8ad90605" targetNamespace="http://schemas.microsoft.com/office/2006/metadata/properties" ma:root="true" ma:fieldsID="2fd74f3f983f59b95b97dbd54ccec5ee" ns2:_="" ns3:_="">
    <xsd:import namespace="8a86e90f-9485-48b1-9cd8-cd52196d7331"/>
    <xsd:import namespace="d1a51c35-fe07-45dc-a7d2-ceec8ad90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6e90f-9485-48b1-9cd8-cd52196d7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a51c35-fe07-45dc-a7d2-ceec8ad90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ab891b-c877-487d-a008-a777cbe9d5d2}" ma:internalName="TaxCatchAll" ma:showField="CatchAllData" ma:web="d1a51c35-fe07-45dc-a7d2-ceec8ad90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F856D-2CB7-43C3-A3BB-9B2F1343408B}">
  <ds:schemaRefs>
    <ds:schemaRef ds:uri="http://schemas.microsoft.com/office/2006/metadata/properties"/>
    <ds:schemaRef ds:uri="http://purl.org/dc/dcmitype/"/>
    <ds:schemaRef ds:uri="8a86e90f-9485-48b1-9cd8-cd52196d7331"/>
    <ds:schemaRef ds:uri="http://schemas.microsoft.com/office/infopath/2007/PartnerControls"/>
    <ds:schemaRef ds:uri="http://schemas.microsoft.com/office/2006/documentManagement/types"/>
    <ds:schemaRef ds:uri="d1a51c35-fe07-45dc-a7d2-ceec8ad90605"/>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0EF913B-4D80-4F5D-8285-12D97D0098A2}">
  <ds:schemaRefs>
    <ds:schemaRef ds:uri="http://schemas.microsoft.com/sharepoint/v3/contenttype/forms"/>
  </ds:schemaRefs>
</ds:datastoreItem>
</file>

<file path=customXml/itemProps3.xml><?xml version="1.0" encoding="utf-8"?>
<ds:datastoreItem xmlns:ds="http://schemas.openxmlformats.org/officeDocument/2006/customXml" ds:itemID="{044F09BA-38AD-4714-A9DB-A856B9CB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6e90f-9485-48b1-9cd8-cd52196d7331"/>
    <ds:schemaRef ds:uri="d1a51c35-fe07-45dc-a7d2-ceec8ad90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Inglis</dc:creator>
  <cp:keywords/>
  <dc:description/>
  <cp:lastModifiedBy>Frances McClelland</cp:lastModifiedBy>
  <cp:revision>5</cp:revision>
  <dcterms:created xsi:type="dcterms:W3CDTF">2023-01-26T22:31:00Z</dcterms:created>
  <dcterms:modified xsi:type="dcterms:W3CDTF">2023-01-26T23:11:00Z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0x010100E542A7C3AAF79946A0213F1E712B46BA</vt:lpwstr>
  </property>
  <property fmtid="{D5CDD505-2E9C-101B-9397-08002B2CF9AE}" pid="3" name="MediaServiceImageTags">
    <vt:lpwstr/>
  </property>
</Properties>
</file>