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D05B" w14:textId="5F808330" w:rsidR="00F37778" w:rsidRPr="002D027B" w:rsidRDefault="00F37778" w:rsidP="00573303">
      <w:pPr>
        <w:pStyle w:val="Headings"/>
        <w:spacing w:before="0" w:after="0" w:line="240" w:lineRule="auto"/>
        <w:ind w:left="0" w:firstLine="0"/>
        <w:rPr>
          <w:rFonts w:ascii="Arial" w:hAnsi="Arial" w:cs="Arial"/>
          <w:color w:val="FFFFFF"/>
          <w:sz w:val="28"/>
          <w:szCs w:val="28"/>
        </w:rPr>
      </w:pPr>
      <w:r w:rsidRPr="0011730D">
        <w:rPr>
          <w:rFonts w:ascii="Arial" w:hAnsi="Arial" w:cs="Arial"/>
          <w:color w:val="FFFFFF"/>
          <w:sz w:val="28"/>
          <w:szCs w:val="28"/>
        </w:rPr>
        <w:t xml:space="preserve">                        </w:t>
      </w:r>
    </w:p>
    <w:p w14:paraId="0992F670" w14:textId="77777777" w:rsidR="00573303" w:rsidRDefault="002D027B" w:rsidP="00F37778"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B82B98B" wp14:editId="26063DD7">
                <wp:extent cx="5731510" cy="347866"/>
                <wp:effectExtent l="0" t="0" r="254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47866"/>
                        </a:xfrm>
                        <a:prstGeom prst="rect">
                          <a:avLst/>
                        </a:prstGeom>
                        <a:solidFill>
                          <a:srgbClr val="6F99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EAD67" w14:textId="10A9F5C0" w:rsidR="002D027B" w:rsidRDefault="002D027B" w:rsidP="002D027B">
                            <w:pPr>
                              <w:tabs>
                                <w:tab w:val="left" w:pos="7822"/>
                              </w:tabs>
                              <w:spacing w:before="196"/>
                              <w:ind w:left="170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 w:rsidRPr="008D175B"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Tool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7</w:t>
                            </w:r>
                            <w:r w:rsidR="00324504"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: </w:t>
                            </w:r>
                            <w:r w:rsidRPr="002D027B">
                              <w:rPr>
                                <w:rFonts w:ascii="Arial"/>
                                <w:b/>
                                <w:color w:val="FFFFFF"/>
                              </w:rPr>
                              <w:t>Risk Assessment Following an Emergency Event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82B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" fillcolor="#6f99d0" stroked="f">
                <v:textbox inset="0,0,0,0">
                  <w:txbxContent>
                    <w:p w14:paraId="337EAD67" w14:textId="10A9F5C0" w:rsidR="002D027B" w:rsidRDefault="002D027B" w:rsidP="002D027B">
                      <w:pPr>
                        <w:tabs>
                          <w:tab w:val="left" w:pos="7822"/>
                        </w:tabs>
                        <w:spacing w:before="196"/>
                        <w:ind w:left="170"/>
                        <w:rPr>
                          <w:rFonts w:ascii="Arial"/>
                          <w:b/>
                          <w:color w:val="000000"/>
                        </w:rPr>
                      </w:pPr>
                      <w:r w:rsidRPr="008D175B">
                        <w:rPr>
                          <w:rFonts w:ascii="Arial"/>
                          <w:b/>
                          <w:color w:val="FFFFFF"/>
                        </w:rPr>
                        <w:t xml:space="preserve">Tool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7</w:t>
                      </w:r>
                      <w:r w:rsidR="00324504">
                        <w:rPr>
                          <w:rFonts w:ascii="Arial"/>
                          <w:b/>
                          <w:color w:val="FFFFFF"/>
                        </w:rPr>
                        <w:t xml:space="preserve">: </w:t>
                      </w:r>
                      <w:r w:rsidRPr="002D027B">
                        <w:rPr>
                          <w:rFonts w:ascii="Arial"/>
                          <w:b/>
                          <w:color w:val="FFFFFF"/>
                        </w:rPr>
                        <w:t>Risk Assessment Following an Emergency Event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A6E7D" w14:textId="6035C351" w:rsidR="00F37778" w:rsidRPr="00252E78" w:rsidRDefault="00F37778" w:rsidP="00F37778">
      <w:r>
        <w:t>As part of your risk assessment approach to managing your site, particularly following an emergency event or widespread infectious illnesses, you will need to determine if you</w:t>
      </w:r>
      <w:r w:rsidRPr="00252E78">
        <w:t xml:space="preserve"> </w:t>
      </w:r>
      <w:r>
        <w:t xml:space="preserve">have </w:t>
      </w:r>
      <w:r w:rsidRPr="00252E78">
        <w:t>sufficient staffing to ensure key functions can continue to operate</w:t>
      </w:r>
      <w:r>
        <w:t>.</w:t>
      </w:r>
    </w:p>
    <w:p w14:paraId="17BD8795" w14:textId="717257BC" w:rsidR="00F37778" w:rsidRDefault="00F37778" w:rsidP="00F37778">
      <w:r w:rsidRPr="00252E78">
        <w:t xml:space="preserve">If ‘no’, you will need to </w:t>
      </w:r>
      <w:proofErr w:type="gramStart"/>
      <w:r w:rsidRPr="00252E78">
        <w:t>take action</w:t>
      </w:r>
      <w:proofErr w:type="gramEnd"/>
      <w:r w:rsidRPr="00252E78">
        <w:t>, which at a very worst-case scenario may require closing onsite and moving to learning from home.</w:t>
      </w:r>
    </w:p>
    <w:p w14:paraId="4A9CB36B" w14:textId="77777777" w:rsidR="00F37778" w:rsidRPr="00252E78" w:rsidRDefault="00F37778" w:rsidP="00F37778"/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4434"/>
        <w:gridCol w:w="858"/>
        <w:gridCol w:w="3724"/>
      </w:tblGrid>
      <w:tr w:rsidR="00F37778" w:rsidRPr="00252E78" w14:paraId="085084F2" w14:textId="77777777" w:rsidTr="00F37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5D070E42" w14:textId="77777777" w:rsidR="00F37778" w:rsidRPr="00252E78" w:rsidRDefault="00F37778" w:rsidP="00327B1E">
            <w:r w:rsidRPr="00252E78">
              <w:t>Critical functions</w:t>
            </w:r>
          </w:p>
        </w:tc>
        <w:tc>
          <w:tcPr>
            <w:tcW w:w="476" w:type="pct"/>
          </w:tcPr>
          <w:p w14:paraId="72BADD7B" w14:textId="77777777" w:rsidR="00F37778" w:rsidRPr="00252E78" w:rsidRDefault="00F37778" w:rsidP="0032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2E78">
              <w:rPr>
                <w:rFonts w:ascii="Wingdings" w:eastAsia="Wingdings" w:hAnsi="Wingdings" w:cs="Wingdings"/>
              </w:rPr>
              <w:t>ü</w:t>
            </w:r>
            <w:r w:rsidRPr="00252E78">
              <w:t xml:space="preserve"> / </w:t>
            </w:r>
            <w:r w:rsidRPr="00252E78">
              <w:rPr>
                <w:rFonts w:ascii="Wingdings" w:eastAsia="Wingdings" w:hAnsi="Wingdings" w:cs="Wingdings"/>
              </w:rPr>
              <w:t>û</w:t>
            </w:r>
          </w:p>
        </w:tc>
        <w:tc>
          <w:tcPr>
            <w:tcW w:w="2065" w:type="pct"/>
          </w:tcPr>
          <w:p w14:paraId="05CF99EB" w14:textId="77777777" w:rsidR="00F37778" w:rsidRPr="00252E78" w:rsidRDefault="00F37778" w:rsidP="0032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2E78">
              <w:t xml:space="preserve">Notes / Actions needed </w:t>
            </w:r>
          </w:p>
        </w:tc>
      </w:tr>
      <w:tr w:rsidR="00F37778" w:rsidRPr="00252E78" w14:paraId="4FD632F3" w14:textId="77777777" w:rsidTr="00F3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1408F0B6" w14:textId="468FF23B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 xml:space="preserve">Non-teaching staff to manage operations onsite – </w:t>
            </w:r>
            <w:proofErr w:type="spellStart"/>
            <w:r w:rsidRPr="009F458F">
              <w:rPr>
                <w:b w:val="0"/>
                <w:bCs w:val="0"/>
              </w:rPr>
              <w:t>eg</w:t>
            </w:r>
            <w:proofErr w:type="spellEnd"/>
            <w:r w:rsidRPr="009F458F">
              <w:rPr>
                <w:b w:val="0"/>
                <w:bCs w:val="0"/>
              </w:rPr>
              <w:t>, reception, payroll, facilities management, finances</w:t>
            </w:r>
          </w:p>
        </w:tc>
        <w:tc>
          <w:tcPr>
            <w:tcW w:w="476" w:type="pct"/>
          </w:tcPr>
          <w:p w14:paraId="360743D2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4FC190A0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778" w:rsidRPr="00252E78" w14:paraId="46A84E26" w14:textId="77777777" w:rsidTr="00F377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676D7289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First-aid staff</w:t>
            </w:r>
          </w:p>
        </w:tc>
        <w:tc>
          <w:tcPr>
            <w:tcW w:w="476" w:type="pct"/>
          </w:tcPr>
          <w:p w14:paraId="6CCFDEF0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7DA88FF9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778" w:rsidRPr="00252E78" w14:paraId="47CEA288" w14:textId="77777777" w:rsidTr="00F3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41CAEA09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Emergency management capability onsite</w:t>
            </w:r>
          </w:p>
        </w:tc>
        <w:tc>
          <w:tcPr>
            <w:tcW w:w="476" w:type="pct"/>
          </w:tcPr>
          <w:p w14:paraId="20813A22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189FDC2E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778" w:rsidRPr="00252E78" w14:paraId="71924253" w14:textId="77777777" w:rsidTr="00F377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5D3E22BB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 xml:space="preserve">Cleaning staff to meet minimum health and safety requirements </w:t>
            </w:r>
          </w:p>
        </w:tc>
        <w:tc>
          <w:tcPr>
            <w:tcW w:w="476" w:type="pct"/>
          </w:tcPr>
          <w:p w14:paraId="33C74C48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7FC632A8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778" w:rsidRPr="00252E78" w14:paraId="14625CA0" w14:textId="77777777" w:rsidTr="00F3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13076E8E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IT capability to support onsite / offsite learning</w:t>
            </w:r>
          </w:p>
        </w:tc>
        <w:tc>
          <w:tcPr>
            <w:tcW w:w="476" w:type="pct"/>
          </w:tcPr>
          <w:p w14:paraId="1F28EF91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007B4713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778" w:rsidRPr="00252E78" w14:paraId="79990DEF" w14:textId="77777777" w:rsidTr="00F377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1C882CDC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Qualified teachers to support the numbers of learners onsite</w:t>
            </w:r>
          </w:p>
        </w:tc>
        <w:tc>
          <w:tcPr>
            <w:tcW w:w="476" w:type="pct"/>
          </w:tcPr>
          <w:p w14:paraId="2F2DC4E2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09E6E2D7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778" w:rsidRPr="00252E78" w14:paraId="06D4B2CE" w14:textId="77777777" w:rsidTr="00F3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7FB87861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Able to support children with additional learning needs onsite</w:t>
            </w:r>
          </w:p>
        </w:tc>
        <w:tc>
          <w:tcPr>
            <w:tcW w:w="476" w:type="pct"/>
          </w:tcPr>
          <w:p w14:paraId="62EF0EB5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08141E22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778" w:rsidRPr="00252E78" w14:paraId="2230B893" w14:textId="77777777" w:rsidTr="00F377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28DC4202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 xml:space="preserve">Specialist facilities management staff </w:t>
            </w:r>
            <w:proofErr w:type="spellStart"/>
            <w:r w:rsidRPr="009F458F">
              <w:rPr>
                <w:b w:val="0"/>
                <w:bCs w:val="0"/>
              </w:rPr>
              <w:t>eg</w:t>
            </w:r>
            <w:proofErr w:type="spellEnd"/>
            <w:r w:rsidRPr="009F458F">
              <w:rPr>
                <w:b w:val="0"/>
                <w:bCs w:val="0"/>
              </w:rPr>
              <w:t xml:space="preserve"> - drinking water supply, specialist pool maintenance</w:t>
            </w:r>
          </w:p>
        </w:tc>
        <w:tc>
          <w:tcPr>
            <w:tcW w:w="476" w:type="pct"/>
          </w:tcPr>
          <w:p w14:paraId="24DD10E8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4FDE6760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778" w:rsidRPr="00252E78" w14:paraId="6B45261F" w14:textId="77777777" w:rsidTr="00F3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4225AC0E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[add other critical functions identified in your school and business continuity plan]</w:t>
            </w:r>
          </w:p>
        </w:tc>
        <w:tc>
          <w:tcPr>
            <w:tcW w:w="476" w:type="pct"/>
          </w:tcPr>
          <w:p w14:paraId="3A4667F5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3A0EF7CC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778" w:rsidRPr="00252E78" w14:paraId="4BB208EA" w14:textId="77777777" w:rsidTr="00F3777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56D46B5F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[add other critical functions identified in your school and business continuity plan]</w:t>
            </w:r>
          </w:p>
        </w:tc>
        <w:tc>
          <w:tcPr>
            <w:tcW w:w="476" w:type="pct"/>
          </w:tcPr>
          <w:p w14:paraId="2E27FBF2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4EF943FC" w14:textId="77777777" w:rsidR="00F37778" w:rsidRPr="00252E78" w:rsidRDefault="00F3777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778" w:rsidRPr="00252E78" w14:paraId="23F72BC7" w14:textId="77777777" w:rsidTr="00F37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</w:tcPr>
          <w:p w14:paraId="080CE835" w14:textId="77777777" w:rsidR="00F37778" w:rsidRPr="009F458F" w:rsidRDefault="00F37778" w:rsidP="00327B1E">
            <w:pPr>
              <w:rPr>
                <w:b w:val="0"/>
                <w:bCs w:val="0"/>
              </w:rPr>
            </w:pPr>
            <w:r w:rsidRPr="009F458F">
              <w:rPr>
                <w:b w:val="0"/>
                <w:bCs w:val="0"/>
              </w:rPr>
              <w:t>[add other critical functions identified in your school and business continuity plan]</w:t>
            </w:r>
          </w:p>
        </w:tc>
        <w:tc>
          <w:tcPr>
            <w:tcW w:w="476" w:type="pct"/>
          </w:tcPr>
          <w:p w14:paraId="7234DBA5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pct"/>
          </w:tcPr>
          <w:p w14:paraId="70DB3117" w14:textId="77777777" w:rsidR="00F37778" w:rsidRPr="00252E78" w:rsidRDefault="00F37778" w:rsidP="0032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1EF22B" w14:textId="5219E5C1" w:rsidR="00F37778" w:rsidRPr="00F37778" w:rsidRDefault="00F37778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40"/>
          <w:szCs w:val="40"/>
        </w:rPr>
      </w:pPr>
    </w:p>
    <w:sectPr w:rsidR="00F37778" w:rsidRPr="00F3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78"/>
    <w:rsid w:val="002D027B"/>
    <w:rsid w:val="00324504"/>
    <w:rsid w:val="00573303"/>
    <w:rsid w:val="00B458B8"/>
    <w:rsid w:val="00C83DA4"/>
    <w:rsid w:val="00DF432D"/>
    <w:rsid w:val="00F37778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1C7"/>
  <w15:chartTrackingRefBased/>
  <w15:docId w15:val="{5A4794CB-253D-4D33-ACA9-A4D9520E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78"/>
    <w:pPr>
      <w:spacing w:after="12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778"/>
    <w:pPr>
      <w:keepNext/>
      <w:keepLines/>
      <w:spacing w:before="320" w:after="80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37778"/>
    <w:rPr>
      <w:sz w:val="16"/>
      <w:szCs w:val="16"/>
    </w:rPr>
  </w:style>
  <w:style w:type="paragraph" w:customStyle="1" w:styleId="Headings">
    <w:name w:val="Headings"/>
    <w:basedOn w:val="BodyText"/>
    <w:uiPriority w:val="99"/>
    <w:rsid w:val="00F37778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eastAsia="Times New Roman" w:hAnsi="Gotham Bold" w:cs="Gotham Bold"/>
      <w:b/>
      <w:bCs/>
      <w:color w:val="000000"/>
      <w:sz w:val="22"/>
      <w:szCs w:val="22"/>
      <w:lang w:val="en-GB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778"/>
    <w:pPr>
      <w:spacing w:after="0"/>
    </w:pPr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778"/>
    <w:rPr>
      <w:rFonts w:ascii="Tahoma" w:eastAsia="Times New Roman" w:hAnsi="Tahoma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37778"/>
    <w:pPr>
      <w:spacing w:line="259" w:lineRule="auto"/>
    </w:pPr>
    <w:rPr>
      <w:rFonts w:ascii="Calibri" w:eastAsiaTheme="minorHAnsi" w:hAnsi="Calibri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7778"/>
  </w:style>
  <w:style w:type="character" w:customStyle="1" w:styleId="Heading1Char">
    <w:name w:val="Heading 1 Char"/>
    <w:basedOn w:val="DefaultParagraphFont"/>
    <w:link w:val="Heading1"/>
    <w:uiPriority w:val="9"/>
    <w:rsid w:val="00F37778"/>
    <w:rPr>
      <w:rFonts w:asciiTheme="majorHAnsi" w:eastAsiaTheme="majorEastAsia" w:hAnsiTheme="majorHAnsi" w:cstheme="majorBidi"/>
      <w:noProof/>
      <w:color w:val="2F5496" w:themeColor="accent1" w:themeShade="BF"/>
      <w:sz w:val="40"/>
      <w:szCs w:val="40"/>
    </w:rPr>
  </w:style>
  <w:style w:type="table" w:styleId="GridTable4-Accent4">
    <w:name w:val="Grid Table 4 Accent 4"/>
    <w:basedOn w:val="TableNormal"/>
    <w:uiPriority w:val="49"/>
    <w:rsid w:val="00F37778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77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5558BC64B14CBD8568BFE0B61E9E" ma:contentTypeVersion="13" ma:contentTypeDescription="Create a new document." ma:contentTypeScope="" ma:versionID="9304c2a80b2fd8d18c9501706e29a939">
  <xsd:schema xmlns:xsd="http://www.w3.org/2001/XMLSchema" xmlns:xs="http://www.w3.org/2001/XMLSchema" xmlns:p="http://schemas.microsoft.com/office/2006/metadata/properties" xmlns:ns2="70c8d99d-9693-494a-9e4d-fb503fb74310" xmlns:ns3="e597ae05-1615-4707-a265-c20f7224f7d8" targetNamespace="http://schemas.microsoft.com/office/2006/metadata/properties" ma:root="true" ma:fieldsID="19e08b102ab4c08c60cb66744886e887" ns2:_="" ns3:_="">
    <xsd:import namespace="70c8d99d-9693-494a-9e4d-fb503fb74310"/>
    <xsd:import namespace="e597ae05-1615-4707-a265-c20f7224f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d99d-9693-494a-9e4d-fb503fb7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e05-1615-4707-a265-c20f7224f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cfa2a-0bf1-4003-b884-2e0a256a33bc}" ma:internalName="TaxCatchAll" ma:showField="CatchAllData" ma:web="e597ae05-1615-4707-a265-c20f7224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8d99d-9693-494a-9e4d-fb503fb74310">
      <Terms xmlns="http://schemas.microsoft.com/office/infopath/2007/PartnerControls"/>
    </lcf76f155ced4ddcb4097134ff3c332f>
    <TaxCatchAll xmlns="e597ae05-1615-4707-a265-c20f7224f7d8" xsi:nil="true"/>
  </documentManagement>
</p:properties>
</file>

<file path=customXml/itemProps1.xml><?xml version="1.0" encoding="utf-8"?>
<ds:datastoreItem xmlns:ds="http://schemas.openxmlformats.org/officeDocument/2006/customXml" ds:itemID="{BD1C71FE-E200-4C64-B97E-7C245F2D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8d99d-9693-494a-9e4d-fb503fb74310"/>
    <ds:schemaRef ds:uri="e597ae05-1615-4707-a265-c20f7224f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388C5-DC9D-4B8C-B0EF-AC6A41F87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BAE5D-CCBC-4265-849D-CC193DA98AF2}">
  <ds:schemaRefs>
    <ds:schemaRef ds:uri="e597ae05-1615-4707-a265-c20f7224f7d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0c8d99d-9693-494a-9e4d-fb503fb743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Cheyne</dc:creator>
  <cp:keywords/>
  <dc:description/>
  <cp:lastModifiedBy>Bronwyn Cheyne</cp:lastModifiedBy>
  <cp:revision>6</cp:revision>
  <dcterms:created xsi:type="dcterms:W3CDTF">2022-12-14T21:03:00Z</dcterms:created>
  <dcterms:modified xsi:type="dcterms:W3CDTF">2022-12-19T00:32:00Z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0x0101001C075558BC64B14CBD8568BFE0B61E9E</vt:lpwstr>
  </property>
  <property fmtid="{D5CDD505-2E9C-101B-9397-08002B2CF9AE}" pid="3" name="MediaServiceImageTags">
    <vt:lpwstr/>
  </property>
</Properties>
</file>