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FD" w:rsidRPr="00FF14D0" w:rsidRDefault="001264FD" w:rsidP="001264FD">
      <w:pPr>
        <w:spacing w:after="60" w:line="240" w:lineRule="auto"/>
        <w:rPr>
          <w:rFonts w:eastAsiaTheme="majorEastAsia"/>
          <w:b/>
          <w:color w:val="auto"/>
          <w:sz w:val="24"/>
          <w:szCs w:val="24"/>
          <w:lang w:val="en-US" w:eastAsia="en-US"/>
        </w:rPr>
      </w:pPr>
      <w:r w:rsidRPr="00FF14D0">
        <w:rPr>
          <w:rFonts w:eastAsiaTheme="majorEastAsia"/>
          <w:b/>
          <w:color w:val="auto"/>
          <w:sz w:val="24"/>
          <w:szCs w:val="24"/>
          <w:lang w:val="en-US" w:eastAsia="en-US"/>
        </w:rPr>
        <w:t xml:space="preserve">Support for the </w:t>
      </w:r>
      <w:r w:rsidR="007209E5" w:rsidRPr="00FF14D0">
        <w:rPr>
          <w:rFonts w:eastAsiaTheme="majorEastAsia"/>
          <w:b/>
          <w:color w:val="auto"/>
          <w:sz w:val="24"/>
          <w:szCs w:val="24"/>
          <w:lang w:val="en-US" w:eastAsia="en-US"/>
        </w:rPr>
        <w:t>i</w:t>
      </w:r>
      <w:r w:rsidRPr="00FF14D0">
        <w:rPr>
          <w:rFonts w:eastAsiaTheme="majorEastAsia"/>
          <w:b/>
          <w:color w:val="auto"/>
          <w:sz w:val="24"/>
          <w:szCs w:val="24"/>
          <w:lang w:val="en-US" w:eastAsia="en-US"/>
        </w:rPr>
        <w:t xml:space="preserve">mplementation of </w:t>
      </w:r>
      <w:r w:rsidRPr="00FF14D0">
        <w:rPr>
          <w:rFonts w:eastAsiaTheme="majorEastAsia"/>
          <w:b/>
          <w:i/>
          <w:color w:val="auto"/>
          <w:sz w:val="24"/>
          <w:szCs w:val="24"/>
          <w:lang w:val="en-US" w:eastAsia="en-US"/>
        </w:rPr>
        <w:t xml:space="preserve">Te Whāriki: </w:t>
      </w:r>
      <w:r w:rsidRPr="00FF14D0">
        <w:rPr>
          <w:b/>
          <w:i/>
          <w:sz w:val="24"/>
          <w:szCs w:val="24"/>
        </w:rPr>
        <w:t>He whāriki mātauranga mō ngā mokopuna o Aotearoa Early childhood curriculum</w:t>
      </w:r>
      <w:r w:rsidRPr="00FF14D0">
        <w:rPr>
          <w:b/>
          <w:color w:val="auto"/>
          <w:sz w:val="24"/>
          <w:szCs w:val="24"/>
          <w:highlight w:val="white"/>
        </w:rPr>
        <w:t>.</w:t>
      </w:r>
      <w:r w:rsidRPr="00FF14D0">
        <w:rPr>
          <w:color w:val="auto"/>
          <w:sz w:val="24"/>
          <w:szCs w:val="24"/>
          <w:highlight w:val="white"/>
        </w:rPr>
        <w:t xml:space="preserve">  </w:t>
      </w:r>
    </w:p>
    <w:p w:rsidR="001264FD" w:rsidRDefault="001264FD" w:rsidP="001264FD">
      <w:pPr>
        <w:spacing w:after="60" w:line="240" w:lineRule="auto"/>
        <w:rPr>
          <w:rFonts w:eastAsiaTheme="majorEastAsia"/>
          <w:b/>
          <w:caps/>
          <w:color w:val="auto"/>
          <w:lang w:val="en-US" w:eastAsia="en-US"/>
        </w:rPr>
      </w:pPr>
    </w:p>
    <w:p w:rsidR="001264FD" w:rsidRPr="00031AB9" w:rsidRDefault="001264FD" w:rsidP="001264FD">
      <w:pPr>
        <w:spacing w:after="60" w:line="240" w:lineRule="auto"/>
        <w:rPr>
          <w:color w:val="auto"/>
          <w:sz w:val="20"/>
          <w:szCs w:val="20"/>
          <w:highlight w:val="white"/>
        </w:rPr>
      </w:pPr>
      <w:r w:rsidRPr="002E73E1">
        <w:rPr>
          <w:color w:val="auto"/>
          <w:sz w:val="20"/>
          <w:szCs w:val="20"/>
          <w:highlight w:val="white"/>
        </w:rPr>
        <w:t xml:space="preserve">CORE Education </w:t>
      </w:r>
      <w:r w:rsidR="002E73E1" w:rsidRPr="002E73E1">
        <w:rPr>
          <w:color w:val="000000" w:themeColor="text1"/>
          <w:sz w:val="20"/>
          <w:szCs w:val="20"/>
          <w:highlight w:val="white"/>
        </w:rPr>
        <w:t xml:space="preserve">will be working on behalf of the Ministry of Education </w:t>
      </w:r>
      <w:r w:rsidRPr="002E73E1">
        <w:rPr>
          <w:color w:val="auto"/>
          <w:sz w:val="20"/>
          <w:szCs w:val="20"/>
          <w:highlight w:val="white"/>
        </w:rPr>
        <w:t xml:space="preserve">to support the implementation of the updated </w:t>
      </w:r>
      <w:r w:rsidRPr="002E73E1">
        <w:rPr>
          <w:i/>
          <w:color w:val="000000" w:themeColor="text1"/>
          <w:sz w:val="20"/>
          <w:szCs w:val="20"/>
          <w:highlight w:val="white"/>
        </w:rPr>
        <w:t>Te Whāriki</w:t>
      </w:r>
      <w:r w:rsidRPr="002E73E1">
        <w:rPr>
          <w:i/>
          <w:color w:val="000000" w:themeColor="text1"/>
          <w:sz w:val="20"/>
          <w:szCs w:val="20"/>
        </w:rPr>
        <w:t xml:space="preserve">: </w:t>
      </w:r>
      <w:proofErr w:type="gramStart"/>
      <w:r w:rsidRPr="002E73E1">
        <w:rPr>
          <w:i/>
          <w:sz w:val="20"/>
          <w:szCs w:val="20"/>
        </w:rPr>
        <w:t>He</w:t>
      </w:r>
      <w:proofErr w:type="gramEnd"/>
      <w:r w:rsidRPr="002E73E1">
        <w:rPr>
          <w:i/>
          <w:sz w:val="20"/>
          <w:szCs w:val="20"/>
        </w:rPr>
        <w:t xml:space="preserve"> whāriki mātauranga mō ngā mokopuna o Aotearoa Early childhood curriculum</w:t>
      </w:r>
      <w:r w:rsidRPr="002E73E1">
        <w:rPr>
          <w:color w:val="auto"/>
          <w:sz w:val="20"/>
          <w:szCs w:val="20"/>
          <w:highlight w:val="white"/>
        </w:rPr>
        <w:t>.  There will be a range of opportunities for teachers, educators and kaiako to participate</w:t>
      </w:r>
      <w:r w:rsidR="00031AB9" w:rsidRPr="002E73E1">
        <w:rPr>
          <w:color w:val="auto"/>
          <w:sz w:val="20"/>
          <w:szCs w:val="20"/>
          <w:highlight w:val="white"/>
        </w:rPr>
        <w:t xml:space="preserve"> in workshops</w:t>
      </w:r>
      <w:r w:rsidRPr="002E73E1">
        <w:rPr>
          <w:color w:val="auto"/>
          <w:sz w:val="20"/>
          <w:szCs w:val="20"/>
          <w:highlight w:val="white"/>
        </w:rPr>
        <w:t>, lead</w:t>
      </w:r>
      <w:r w:rsidR="00031AB9">
        <w:rPr>
          <w:color w:val="auto"/>
          <w:sz w:val="20"/>
          <w:szCs w:val="20"/>
          <w:highlight w:val="white"/>
        </w:rPr>
        <w:t xml:space="preserve"> curriculum inquiry</w:t>
      </w:r>
      <w:r w:rsidRPr="00FF14D0">
        <w:rPr>
          <w:color w:val="auto"/>
          <w:sz w:val="20"/>
          <w:szCs w:val="20"/>
          <w:highlight w:val="white"/>
        </w:rPr>
        <w:t xml:space="preserve"> and champion the updated </w:t>
      </w:r>
      <w:r w:rsidRPr="00FF14D0">
        <w:rPr>
          <w:i/>
          <w:color w:val="auto"/>
          <w:sz w:val="20"/>
          <w:szCs w:val="20"/>
          <w:highlight w:val="white"/>
        </w:rPr>
        <w:t xml:space="preserve">Te Whāriki </w:t>
      </w:r>
      <w:r w:rsidRPr="00FF14D0">
        <w:rPr>
          <w:color w:val="auto"/>
          <w:sz w:val="20"/>
          <w:szCs w:val="20"/>
          <w:highlight w:val="white"/>
        </w:rPr>
        <w:t>(see below). Regular communications and updates about the programme of work will be provided.</w:t>
      </w:r>
    </w:p>
    <w:p w:rsidR="00031AB9" w:rsidRPr="00FF14D0" w:rsidRDefault="00031AB9" w:rsidP="00031AB9">
      <w:pPr>
        <w:spacing w:before="360" w:after="60" w:line="240" w:lineRule="auto"/>
        <w:rPr>
          <w:b/>
          <w:color w:val="auto"/>
          <w:sz w:val="20"/>
          <w:szCs w:val="20"/>
          <w:highlight w:val="white"/>
        </w:rPr>
      </w:pPr>
      <w:r w:rsidRPr="00FF14D0">
        <w:rPr>
          <w:b/>
          <w:color w:val="auto"/>
          <w:sz w:val="20"/>
          <w:szCs w:val="20"/>
          <w:highlight w:val="white"/>
        </w:rPr>
        <w:t>Opportunities for teachers, educators and kaiako to participate in professional learning and development include:</w:t>
      </w:r>
    </w:p>
    <w:p w:rsidR="00031AB9" w:rsidRPr="00FF14D0" w:rsidRDefault="00031AB9" w:rsidP="00031AB9">
      <w:pPr>
        <w:pStyle w:val="ListParagraph"/>
        <w:spacing w:after="60" w:line="240" w:lineRule="auto"/>
        <w:ind w:left="0"/>
        <w:rPr>
          <w:b/>
          <w:color w:val="auto"/>
          <w:sz w:val="20"/>
          <w:szCs w:val="20"/>
          <w:highlight w:val="white"/>
        </w:rPr>
      </w:pPr>
    </w:p>
    <w:p w:rsidR="00031AB9" w:rsidRPr="00FF14D0" w:rsidRDefault="00031AB9" w:rsidP="00031AB9">
      <w:pPr>
        <w:pStyle w:val="ListParagraph"/>
        <w:numPr>
          <w:ilvl w:val="0"/>
          <w:numId w:val="7"/>
        </w:numPr>
        <w:spacing w:after="60" w:line="240" w:lineRule="auto"/>
        <w:ind w:left="426" w:hanging="426"/>
        <w:rPr>
          <w:i/>
          <w:color w:val="auto"/>
          <w:sz w:val="20"/>
          <w:szCs w:val="20"/>
          <w:highlight w:val="white"/>
        </w:rPr>
      </w:pPr>
      <w:r w:rsidRPr="00FF14D0">
        <w:rPr>
          <w:i/>
          <w:color w:val="auto"/>
          <w:sz w:val="20"/>
          <w:szCs w:val="20"/>
          <w:highlight w:val="white"/>
        </w:rPr>
        <w:t>Workshops</w:t>
      </w:r>
    </w:p>
    <w:p w:rsidR="00031AB9" w:rsidRPr="00FF14D0" w:rsidRDefault="00031AB9" w:rsidP="00031AB9">
      <w:pPr>
        <w:spacing w:after="60" w:line="240" w:lineRule="auto"/>
        <w:rPr>
          <w:color w:val="auto"/>
          <w:sz w:val="20"/>
          <w:szCs w:val="20"/>
          <w:highlight w:val="white"/>
        </w:rPr>
      </w:pPr>
      <w:r w:rsidRPr="00FF14D0">
        <w:rPr>
          <w:color w:val="auto"/>
          <w:sz w:val="20"/>
          <w:szCs w:val="20"/>
          <w:highlight w:val="white"/>
        </w:rPr>
        <w:t>There will be 28 workshops nationwide w</w:t>
      </w:r>
      <w:r>
        <w:rPr>
          <w:color w:val="auto"/>
          <w:sz w:val="20"/>
          <w:szCs w:val="20"/>
          <w:highlight w:val="white"/>
        </w:rPr>
        <w:t>hich will provide</w:t>
      </w:r>
      <w:r w:rsidRPr="00FF14D0">
        <w:rPr>
          <w:color w:val="auto"/>
          <w:sz w:val="20"/>
          <w:szCs w:val="20"/>
          <w:highlight w:val="white"/>
        </w:rPr>
        <w:t xml:space="preserve"> teachers, educators and kaiako opportunities to engage with the updated </w:t>
      </w:r>
      <w:r w:rsidRPr="00FF14D0">
        <w:rPr>
          <w:i/>
          <w:color w:val="auto"/>
          <w:sz w:val="20"/>
          <w:szCs w:val="20"/>
          <w:highlight w:val="white"/>
        </w:rPr>
        <w:t>Te Whāriki</w:t>
      </w:r>
      <w:r w:rsidRPr="00FF14D0">
        <w:rPr>
          <w:color w:val="auto"/>
          <w:sz w:val="20"/>
          <w:szCs w:val="20"/>
          <w:highlight w:val="white"/>
        </w:rPr>
        <w:t>. Participants will develop their knowledge and understanding</w:t>
      </w:r>
      <w:r>
        <w:rPr>
          <w:color w:val="auto"/>
          <w:sz w:val="20"/>
          <w:szCs w:val="20"/>
          <w:highlight w:val="white"/>
        </w:rPr>
        <w:t xml:space="preserve"> of </w:t>
      </w:r>
      <w:r w:rsidRPr="00031AB9">
        <w:rPr>
          <w:i/>
          <w:color w:val="auto"/>
          <w:sz w:val="20"/>
          <w:szCs w:val="20"/>
          <w:highlight w:val="white"/>
        </w:rPr>
        <w:t>Te Whāriki (2017)</w:t>
      </w:r>
      <w:r w:rsidRPr="00FF14D0">
        <w:rPr>
          <w:color w:val="auto"/>
          <w:sz w:val="20"/>
          <w:szCs w:val="20"/>
          <w:highlight w:val="white"/>
        </w:rPr>
        <w:t xml:space="preserve"> and take away tools to explore </w:t>
      </w:r>
      <w:r>
        <w:rPr>
          <w:color w:val="auto"/>
          <w:sz w:val="20"/>
          <w:szCs w:val="20"/>
          <w:highlight w:val="white"/>
        </w:rPr>
        <w:t xml:space="preserve">further </w:t>
      </w:r>
      <w:r w:rsidRPr="00FF14D0">
        <w:rPr>
          <w:color w:val="auto"/>
          <w:sz w:val="20"/>
          <w:szCs w:val="20"/>
          <w:highlight w:val="white"/>
        </w:rPr>
        <w:t xml:space="preserve">in their settings. </w:t>
      </w:r>
    </w:p>
    <w:p w:rsidR="00031AB9" w:rsidRPr="00FF14D0" w:rsidRDefault="00031AB9" w:rsidP="00031AB9">
      <w:pPr>
        <w:spacing w:after="60" w:line="240" w:lineRule="auto"/>
        <w:rPr>
          <w:color w:val="auto"/>
          <w:sz w:val="20"/>
          <w:szCs w:val="20"/>
          <w:highlight w:val="white"/>
        </w:rPr>
      </w:pPr>
      <w:r w:rsidRPr="00FF14D0">
        <w:rPr>
          <w:color w:val="auto"/>
          <w:sz w:val="20"/>
          <w:szCs w:val="20"/>
          <w:highlight w:val="white"/>
        </w:rPr>
        <w:t>These workshops will be available across the ten Ministry of Education regions and registrations are open now. Five of these workshops will be streamed live for anyone to join in across the country.</w:t>
      </w:r>
    </w:p>
    <w:p w:rsidR="00031AB9" w:rsidRPr="00FF14D0" w:rsidRDefault="00031AB9" w:rsidP="00031AB9">
      <w:pPr>
        <w:spacing w:after="60" w:line="240" w:lineRule="auto"/>
        <w:rPr>
          <w:color w:val="auto"/>
          <w:sz w:val="20"/>
          <w:szCs w:val="20"/>
          <w:highlight w:val="white"/>
        </w:rPr>
      </w:pPr>
    </w:p>
    <w:p w:rsidR="00031AB9" w:rsidRPr="00FF14D0" w:rsidRDefault="00031AB9" w:rsidP="00031AB9">
      <w:pPr>
        <w:pStyle w:val="ListParagraph"/>
        <w:numPr>
          <w:ilvl w:val="0"/>
          <w:numId w:val="7"/>
        </w:numPr>
        <w:spacing w:after="60" w:line="240" w:lineRule="auto"/>
        <w:ind w:left="567" w:hanging="567"/>
        <w:rPr>
          <w:i/>
          <w:color w:val="auto"/>
          <w:sz w:val="20"/>
          <w:szCs w:val="20"/>
          <w:highlight w:val="white"/>
        </w:rPr>
      </w:pPr>
      <w:r w:rsidRPr="00FF14D0">
        <w:rPr>
          <w:i/>
          <w:color w:val="auto"/>
          <w:sz w:val="20"/>
          <w:szCs w:val="20"/>
          <w:highlight w:val="white"/>
        </w:rPr>
        <w:t>Webinars</w:t>
      </w:r>
    </w:p>
    <w:p w:rsidR="00031AB9" w:rsidRPr="00FF14D0" w:rsidRDefault="00031AB9" w:rsidP="00031AB9">
      <w:pPr>
        <w:spacing w:after="60" w:line="240" w:lineRule="auto"/>
        <w:rPr>
          <w:color w:val="auto"/>
          <w:sz w:val="20"/>
          <w:szCs w:val="20"/>
          <w:highlight w:val="white"/>
        </w:rPr>
      </w:pPr>
      <w:r w:rsidRPr="00FF14D0">
        <w:rPr>
          <w:color w:val="auto"/>
          <w:sz w:val="20"/>
          <w:szCs w:val="20"/>
          <w:highlight w:val="white"/>
        </w:rPr>
        <w:t xml:space="preserve">An initial webinar will introduce teachers, educators and kaiako to key messages regarding the update to </w:t>
      </w:r>
      <w:r w:rsidRPr="00FF14D0">
        <w:rPr>
          <w:i/>
          <w:color w:val="auto"/>
          <w:sz w:val="20"/>
          <w:szCs w:val="20"/>
          <w:highlight w:val="white"/>
        </w:rPr>
        <w:t>Te Whāriki</w:t>
      </w:r>
      <w:r w:rsidRPr="00FF14D0">
        <w:rPr>
          <w:color w:val="auto"/>
          <w:sz w:val="20"/>
          <w:szCs w:val="20"/>
          <w:highlight w:val="white"/>
        </w:rPr>
        <w:t>. Further webinars will support key areas of focus identified from feedback from workshop participants. Webinars will be offered multiple times to allow for participants to have choice in the sessions they attend. Webinars will be recorded providing rich resources that participants and services can revisit and use to support discussions with their communities and whānau.</w:t>
      </w:r>
    </w:p>
    <w:p w:rsidR="00031AB9" w:rsidRDefault="00031AB9" w:rsidP="001264FD">
      <w:pPr>
        <w:spacing w:after="60" w:line="240" w:lineRule="auto"/>
        <w:rPr>
          <w:b/>
          <w:color w:val="auto"/>
          <w:sz w:val="20"/>
          <w:szCs w:val="20"/>
          <w:highlight w:val="white"/>
        </w:rPr>
      </w:pPr>
    </w:p>
    <w:p w:rsidR="001264FD" w:rsidRPr="00FF14D0" w:rsidRDefault="001264FD" w:rsidP="001264FD">
      <w:pPr>
        <w:spacing w:after="60" w:line="240" w:lineRule="auto"/>
        <w:rPr>
          <w:b/>
          <w:color w:val="auto"/>
          <w:sz w:val="20"/>
          <w:szCs w:val="20"/>
          <w:highlight w:val="white"/>
        </w:rPr>
      </w:pPr>
      <w:r w:rsidRPr="00FF14D0">
        <w:rPr>
          <w:b/>
          <w:color w:val="auto"/>
          <w:sz w:val="20"/>
          <w:szCs w:val="20"/>
          <w:highlight w:val="white"/>
        </w:rPr>
        <w:t xml:space="preserve">Opportunities for teachers, educators and kaiako to become involved in roles leading this work include: </w:t>
      </w:r>
    </w:p>
    <w:p w:rsidR="001264FD" w:rsidRPr="00FF14D0" w:rsidRDefault="001264FD" w:rsidP="001264FD">
      <w:pPr>
        <w:spacing w:after="60" w:line="240" w:lineRule="auto"/>
        <w:rPr>
          <w:b/>
          <w:color w:val="auto"/>
          <w:sz w:val="20"/>
          <w:szCs w:val="20"/>
          <w:highlight w:val="white"/>
        </w:rPr>
      </w:pPr>
    </w:p>
    <w:p w:rsidR="001264FD" w:rsidRPr="00FF14D0" w:rsidRDefault="001264FD" w:rsidP="001264FD">
      <w:pPr>
        <w:numPr>
          <w:ilvl w:val="0"/>
          <w:numId w:val="7"/>
        </w:numPr>
        <w:spacing w:after="60" w:line="240" w:lineRule="auto"/>
        <w:ind w:left="360"/>
        <w:rPr>
          <w:i/>
          <w:color w:val="auto"/>
          <w:sz w:val="20"/>
          <w:szCs w:val="20"/>
          <w:highlight w:val="white"/>
        </w:rPr>
      </w:pPr>
      <w:r w:rsidRPr="00FF14D0">
        <w:rPr>
          <w:i/>
          <w:color w:val="auto"/>
          <w:sz w:val="20"/>
          <w:szCs w:val="20"/>
          <w:highlight w:val="white"/>
        </w:rPr>
        <w:t>Curriculum Champions</w:t>
      </w:r>
    </w:p>
    <w:p w:rsidR="001264FD" w:rsidRPr="00FF14D0" w:rsidRDefault="001264FD" w:rsidP="001264FD">
      <w:pPr>
        <w:spacing w:after="60" w:line="240" w:lineRule="auto"/>
        <w:rPr>
          <w:color w:val="auto"/>
          <w:sz w:val="20"/>
          <w:szCs w:val="20"/>
          <w:highlight w:val="white"/>
        </w:rPr>
      </w:pPr>
      <w:r w:rsidRPr="00FF14D0">
        <w:rPr>
          <w:color w:val="auto"/>
          <w:sz w:val="20"/>
          <w:szCs w:val="20"/>
          <w:highlight w:val="white"/>
        </w:rPr>
        <w:t xml:space="preserve">The appointment of 24 Curriculum Champions across New Zealand will be integral to delivering support for the updated </w:t>
      </w:r>
      <w:r w:rsidRPr="00FF14D0">
        <w:rPr>
          <w:i/>
          <w:color w:val="auto"/>
          <w:sz w:val="20"/>
          <w:szCs w:val="20"/>
          <w:highlight w:val="white"/>
        </w:rPr>
        <w:t>Te Whāriki</w:t>
      </w:r>
      <w:r w:rsidRPr="00FF14D0">
        <w:rPr>
          <w:color w:val="auto"/>
          <w:sz w:val="20"/>
          <w:szCs w:val="20"/>
          <w:highlight w:val="white"/>
        </w:rPr>
        <w:t>. Curriculum Champions will develop virtual and local networks of pedagogical le</w:t>
      </w:r>
      <w:r w:rsidR="00031AB9">
        <w:rPr>
          <w:color w:val="auto"/>
          <w:sz w:val="20"/>
          <w:szCs w:val="20"/>
          <w:highlight w:val="white"/>
        </w:rPr>
        <w:t>aders</w:t>
      </w:r>
      <w:r w:rsidRPr="00FF14D0">
        <w:rPr>
          <w:color w:val="auto"/>
          <w:sz w:val="20"/>
          <w:szCs w:val="20"/>
          <w:highlight w:val="white"/>
        </w:rPr>
        <w:t>. Pedagogical leaders will be guided to undertake curriculum inquiries in their services and work with other teachers, educators and kaiako within a community of professional practice. Information about these roles will be shared at the nationwide workshops.</w:t>
      </w:r>
    </w:p>
    <w:p w:rsidR="001264FD" w:rsidRPr="00FF14D0" w:rsidRDefault="001264FD" w:rsidP="001264FD">
      <w:pPr>
        <w:spacing w:after="60" w:line="240" w:lineRule="auto"/>
        <w:rPr>
          <w:b/>
          <w:color w:val="auto"/>
          <w:sz w:val="20"/>
          <w:szCs w:val="20"/>
          <w:highlight w:val="white"/>
        </w:rPr>
      </w:pPr>
    </w:p>
    <w:p w:rsidR="001264FD" w:rsidRPr="00FF14D0" w:rsidRDefault="001264FD" w:rsidP="001264FD">
      <w:pPr>
        <w:numPr>
          <w:ilvl w:val="0"/>
          <w:numId w:val="7"/>
        </w:numPr>
        <w:spacing w:after="60" w:line="240" w:lineRule="auto"/>
        <w:ind w:left="426" w:hanging="426"/>
        <w:rPr>
          <w:i/>
          <w:color w:val="auto"/>
          <w:sz w:val="20"/>
          <w:szCs w:val="20"/>
          <w:highlight w:val="white"/>
        </w:rPr>
      </w:pPr>
      <w:r w:rsidRPr="00FF14D0">
        <w:rPr>
          <w:i/>
          <w:color w:val="auto"/>
          <w:sz w:val="20"/>
          <w:szCs w:val="20"/>
          <w:highlight w:val="white"/>
        </w:rPr>
        <w:t>Pedagogical Leads</w:t>
      </w:r>
    </w:p>
    <w:p w:rsidR="001264FD" w:rsidRDefault="00031AB9" w:rsidP="001264FD">
      <w:pPr>
        <w:spacing w:after="60" w:line="240" w:lineRule="auto"/>
        <w:rPr>
          <w:color w:val="auto"/>
          <w:sz w:val="20"/>
          <w:szCs w:val="20"/>
          <w:highlight w:val="white"/>
        </w:rPr>
      </w:pPr>
      <w:r>
        <w:rPr>
          <w:color w:val="auto"/>
          <w:sz w:val="20"/>
          <w:szCs w:val="20"/>
          <w:highlight w:val="white"/>
        </w:rPr>
        <w:t>Teachers, educators and kaiako</w:t>
      </w:r>
      <w:r w:rsidR="001264FD" w:rsidRPr="00FF14D0">
        <w:rPr>
          <w:color w:val="auto"/>
          <w:sz w:val="20"/>
          <w:szCs w:val="20"/>
          <w:highlight w:val="white"/>
        </w:rPr>
        <w:t xml:space="preserve"> identified as pedagogical leads will support the implementation of </w:t>
      </w:r>
      <w:r w:rsidR="001264FD" w:rsidRPr="00FF14D0">
        <w:rPr>
          <w:i/>
          <w:color w:val="auto"/>
          <w:sz w:val="20"/>
          <w:szCs w:val="20"/>
          <w:highlight w:val="white"/>
        </w:rPr>
        <w:t>Te Whāriki</w:t>
      </w:r>
      <w:r>
        <w:rPr>
          <w:color w:val="auto"/>
          <w:sz w:val="20"/>
          <w:szCs w:val="20"/>
          <w:highlight w:val="white"/>
        </w:rPr>
        <w:t xml:space="preserve"> through curriculum inquiry</w:t>
      </w:r>
      <w:r w:rsidR="001264FD" w:rsidRPr="00FF14D0">
        <w:rPr>
          <w:color w:val="auto"/>
          <w:sz w:val="20"/>
          <w:szCs w:val="20"/>
          <w:highlight w:val="white"/>
        </w:rPr>
        <w:t>. Information about these roles will be shared at the nationwide workshops.</w:t>
      </w:r>
    </w:p>
    <w:p w:rsidR="00031AB9" w:rsidRDefault="00031AB9" w:rsidP="001264FD">
      <w:pPr>
        <w:spacing w:after="60" w:line="240" w:lineRule="auto"/>
        <w:rPr>
          <w:color w:val="auto"/>
          <w:sz w:val="20"/>
          <w:szCs w:val="20"/>
          <w:highlight w:val="white"/>
        </w:rPr>
      </w:pPr>
    </w:p>
    <w:p w:rsidR="00031AB9" w:rsidRPr="00FF14D0" w:rsidRDefault="00031AB9" w:rsidP="00031AB9">
      <w:pPr>
        <w:pStyle w:val="ListParagraph"/>
        <w:numPr>
          <w:ilvl w:val="0"/>
          <w:numId w:val="7"/>
        </w:numPr>
        <w:spacing w:after="60" w:line="240" w:lineRule="auto"/>
        <w:ind w:left="567" w:hanging="567"/>
        <w:rPr>
          <w:i/>
          <w:color w:val="auto"/>
          <w:sz w:val="20"/>
          <w:szCs w:val="20"/>
          <w:highlight w:val="white"/>
        </w:rPr>
      </w:pPr>
      <w:r w:rsidRPr="00FF14D0">
        <w:rPr>
          <w:i/>
          <w:color w:val="auto"/>
          <w:sz w:val="20"/>
          <w:szCs w:val="20"/>
          <w:highlight w:val="white"/>
        </w:rPr>
        <w:t>Communities of Practice</w:t>
      </w:r>
      <w:bookmarkStart w:id="0" w:name="_GoBack"/>
      <w:bookmarkEnd w:id="0"/>
    </w:p>
    <w:p w:rsidR="00031AB9" w:rsidRPr="00FF14D0" w:rsidRDefault="00031AB9" w:rsidP="00031AB9">
      <w:pPr>
        <w:spacing w:after="60" w:line="240" w:lineRule="auto"/>
        <w:rPr>
          <w:color w:val="auto"/>
          <w:sz w:val="20"/>
          <w:szCs w:val="20"/>
          <w:highlight w:val="white"/>
        </w:rPr>
      </w:pPr>
      <w:r w:rsidRPr="00FF14D0">
        <w:rPr>
          <w:color w:val="auto"/>
          <w:sz w:val="20"/>
          <w:szCs w:val="20"/>
          <w:highlight w:val="white"/>
        </w:rPr>
        <w:t>Thr</w:t>
      </w:r>
      <w:r>
        <w:rPr>
          <w:color w:val="auto"/>
          <w:sz w:val="20"/>
          <w:szCs w:val="20"/>
          <w:highlight w:val="white"/>
        </w:rPr>
        <w:t>oughout the programme communities of practice</w:t>
      </w:r>
      <w:r w:rsidRPr="00FF14D0">
        <w:rPr>
          <w:color w:val="auto"/>
          <w:sz w:val="20"/>
          <w:szCs w:val="20"/>
          <w:highlight w:val="white"/>
        </w:rPr>
        <w:t xml:space="preserve"> will be established to connect teachers, educators and kaiako, curriculum champions and pedagogical leads. These will provide a platform for collective learning and include opportunities for participants to share their practice and build their </w:t>
      </w:r>
      <w:proofErr w:type="spellStart"/>
      <w:r w:rsidRPr="00FF14D0">
        <w:rPr>
          <w:color w:val="auto"/>
          <w:sz w:val="20"/>
          <w:szCs w:val="20"/>
          <w:highlight w:val="white"/>
        </w:rPr>
        <w:t>kēte</w:t>
      </w:r>
      <w:proofErr w:type="spellEnd"/>
      <w:r w:rsidRPr="00FF14D0">
        <w:rPr>
          <w:color w:val="auto"/>
          <w:sz w:val="20"/>
          <w:szCs w:val="20"/>
          <w:highlight w:val="white"/>
        </w:rPr>
        <w:t xml:space="preserve"> of strategies and resources for </w:t>
      </w:r>
      <w:r>
        <w:rPr>
          <w:color w:val="auto"/>
          <w:sz w:val="20"/>
          <w:szCs w:val="20"/>
          <w:highlight w:val="white"/>
        </w:rPr>
        <w:t xml:space="preserve">implementing </w:t>
      </w:r>
      <w:r w:rsidRPr="00FF14D0">
        <w:rPr>
          <w:color w:val="auto"/>
          <w:sz w:val="20"/>
          <w:szCs w:val="20"/>
          <w:highlight w:val="white"/>
        </w:rPr>
        <w:t xml:space="preserve">the updated </w:t>
      </w:r>
      <w:r w:rsidRPr="00FF14D0">
        <w:rPr>
          <w:i/>
          <w:color w:val="auto"/>
          <w:sz w:val="20"/>
          <w:szCs w:val="20"/>
          <w:highlight w:val="white"/>
        </w:rPr>
        <w:t>Te Whāriki</w:t>
      </w:r>
      <w:r>
        <w:rPr>
          <w:color w:val="auto"/>
          <w:sz w:val="20"/>
          <w:szCs w:val="20"/>
          <w:highlight w:val="white"/>
        </w:rPr>
        <w:t>.</w:t>
      </w:r>
    </w:p>
    <w:p w:rsidR="00031AB9" w:rsidRPr="00FF14D0" w:rsidRDefault="00031AB9" w:rsidP="001264FD">
      <w:pPr>
        <w:spacing w:after="60" w:line="240" w:lineRule="auto"/>
        <w:rPr>
          <w:color w:val="auto"/>
          <w:sz w:val="20"/>
          <w:szCs w:val="20"/>
          <w:highlight w:val="white"/>
        </w:rPr>
      </w:pPr>
    </w:p>
    <w:p w:rsidR="001264FD" w:rsidRPr="00FF14D0" w:rsidRDefault="001264FD" w:rsidP="001264FD">
      <w:pPr>
        <w:spacing w:after="60" w:line="240" w:lineRule="auto"/>
        <w:rPr>
          <w:color w:val="auto"/>
          <w:sz w:val="20"/>
          <w:szCs w:val="20"/>
          <w:highlight w:val="white"/>
        </w:rPr>
      </w:pPr>
    </w:p>
    <w:sectPr w:rsidR="001264FD" w:rsidRPr="00FF14D0" w:rsidSect="001264FD">
      <w:footerReference w:type="default" r:id="rId7"/>
      <w:pgSz w:w="11909" w:h="16834"/>
      <w:pgMar w:top="851" w:right="1134" w:bottom="851"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133" w:rsidRDefault="00872133" w:rsidP="00AD76D2">
      <w:pPr>
        <w:spacing w:line="240" w:lineRule="auto"/>
      </w:pPr>
      <w:r>
        <w:separator/>
      </w:r>
    </w:p>
  </w:endnote>
  <w:endnote w:type="continuationSeparator" w:id="0">
    <w:p w:rsidR="00872133" w:rsidRDefault="00872133" w:rsidP="00AD76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E5" w:rsidRPr="00FD6F53" w:rsidRDefault="007209E5" w:rsidP="007209E5">
    <w:pPr>
      <w:pStyle w:val="Footer"/>
      <w:spacing w:before="120"/>
      <w:rPr>
        <w:color w:val="FFFFFF" w:themeColor="background1"/>
      </w:rPr>
    </w:pPr>
  </w:p>
  <w:p w:rsidR="007209E5" w:rsidRDefault="007209E5">
    <w:pPr>
      <w:pStyle w:val="Footer"/>
    </w:pPr>
    <w:r>
      <w:rPr>
        <w:color w:val="FFFFFF" w:themeColor="background1"/>
        <w:sz w:val="16"/>
        <w:szCs w:val="16"/>
      </w:rPr>
      <w:t>CORE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133" w:rsidRDefault="00872133" w:rsidP="00AD76D2">
      <w:pPr>
        <w:spacing w:line="240" w:lineRule="auto"/>
      </w:pPr>
      <w:r>
        <w:separator/>
      </w:r>
    </w:p>
  </w:footnote>
  <w:footnote w:type="continuationSeparator" w:id="0">
    <w:p w:rsidR="00872133" w:rsidRDefault="00872133" w:rsidP="00AD76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416B6BEF"/>
    <w:multiLevelType w:val="hybridMultilevel"/>
    <w:tmpl w:val="4D40F66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264FD"/>
    <w:rsid w:val="00027FC5"/>
    <w:rsid w:val="00031AB9"/>
    <w:rsid w:val="00100CC1"/>
    <w:rsid w:val="001264FD"/>
    <w:rsid w:val="0016202D"/>
    <w:rsid w:val="002752AE"/>
    <w:rsid w:val="002E73E1"/>
    <w:rsid w:val="003C615A"/>
    <w:rsid w:val="00553FD9"/>
    <w:rsid w:val="007209E5"/>
    <w:rsid w:val="00724E3D"/>
    <w:rsid w:val="00872133"/>
    <w:rsid w:val="00C678D2"/>
    <w:rsid w:val="00C94F2A"/>
    <w:rsid w:val="00D453D2"/>
    <w:rsid w:val="00E72887"/>
    <w:rsid w:val="00F05943"/>
    <w:rsid w:val="00F05F17"/>
    <w:rsid w:val="00F11055"/>
    <w:rsid w:val="00FF14D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4FD"/>
    <w:pPr>
      <w:spacing w:line="276" w:lineRule="auto"/>
    </w:pPr>
    <w:rPr>
      <w:rFonts w:ascii="Arial" w:eastAsia="Arial" w:hAnsi="Arial" w:cs="Arial"/>
      <w:color w:val="000000"/>
      <w:sz w:val="22"/>
      <w:szCs w:val="22"/>
    </w:rPr>
  </w:style>
  <w:style w:type="paragraph" w:styleId="Heading1">
    <w:name w:val="heading 1"/>
    <w:basedOn w:val="Normal"/>
    <w:next w:val="BodyText"/>
    <w:qFormat/>
    <w:rsid w:val="00F05943"/>
    <w:pPr>
      <w:keepNext/>
      <w:spacing w:before="60" w:line="280" w:lineRule="exact"/>
      <w:outlineLvl w:val="0"/>
    </w:pPr>
    <w:rPr>
      <w:b/>
      <w:sz w:val="26"/>
      <w:szCs w:val="20"/>
    </w:rPr>
  </w:style>
  <w:style w:type="paragraph" w:styleId="Heading2">
    <w:name w:val="heading 2"/>
    <w:basedOn w:val="Normal"/>
    <w:next w:val="BodyText"/>
    <w:qFormat/>
    <w:rsid w:val="00F05943"/>
    <w:pPr>
      <w:keepNext/>
      <w:spacing w:before="60" w:line="280" w:lineRule="atLeast"/>
      <w:outlineLvl w:val="1"/>
    </w:pPr>
    <w:rPr>
      <w:b/>
      <w:szCs w:val="20"/>
    </w:rPr>
  </w:style>
  <w:style w:type="paragraph" w:styleId="Heading3">
    <w:name w:val="heading 3"/>
    <w:basedOn w:val="Normal"/>
    <w:next w:val="Normal"/>
    <w:qFormat/>
    <w:rsid w:val="00F05943"/>
    <w:pPr>
      <w:keepNext/>
      <w:spacing w:before="60" w:line="280" w:lineRule="exact"/>
      <w:outlineLvl w:val="2"/>
    </w:pPr>
    <w:rPr>
      <w:b/>
      <w:i/>
      <w:szCs w:val="20"/>
    </w:rPr>
  </w:style>
  <w:style w:type="paragraph" w:styleId="Heading4">
    <w:name w:val="heading 4"/>
    <w:basedOn w:val="Normal"/>
    <w:next w:val="Normal"/>
    <w:qFormat/>
    <w:rsid w:val="00F05943"/>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5943"/>
    <w:pPr>
      <w:spacing w:before="60" w:after="220" w:line="280" w:lineRule="exact"/>
    </w:pPr>
    <w:rPr>
      <w:szCs w:val="20"/>
    </w:rPr>
  </w:style>
  <w:style w:type="paragraph" w:styleId="PlainText">
    <w:name w:val="Plain Text"/>
    <w:basedOn w:val="Normal"/>
    <w:rsid w:val="00F05943"/>
    <w:pPr>
      <w:tabs>
        <w:tab w:val="left" w:pos="425"/>
      </w:tabs>
      <w:spacing w:after="240" w:line="320" w:lineRule="exact"/>
    </w:pPr>
    <w:rPr>
      <w:szCs w:val="20"/>
    </w:rPr>
  </w:style>
  <w:style w:type="paragraph" w:customStyle="1" w:styleId="Bullet">
    <w:name w:val="Bullet"/>
    <w:basedOn w:val="PlainText"/>
    <w:rsid w:val="00F05943"/>
    <w:pPr>
      <w:numPr>
        <w:numId w:val="1"/>
      </w:numPr>
      <w:tabs>
        <w:tab w:val="clear" w:pos="360"/>
      </w:tabs>
      <w:spacing w:after="0"/>
      <w:ind w:left="425" w:hanging="425"/>
    </w:pPr>
  </w:style>
  <w:style w:type="paragraph" w:customStyle="1" w:styleId="Bulletspace">
    <w:name w:val="Bullet+space"/>
    <w:basedOn w:val="Bullet"/>
    <w:rsid w:val="00F05943"/>
    <w:pPr>
      <w:numPr>
        <w:numId w:val="0"/>
      </w:numPr>
      <w:spacing w:after="240"/>
      <w:ind w:left="425" w:hanging="425"/>
    </w:pPr>
  </w:style>
  <w:style w:type="character" w:styleId="CommentReference">
    <w:name w:val="annotation reference"/>
    <w:basedOn w:val="DefaultParagraphFont"/>
    <w:uiPriority w:val="99"/>
    <w:semiHidden/>
    <w:rsid w:val="00F05943"/>
    <w:rPr>
      <w:sz w:val="16"/>
      <w:szCs w:val="16"/>
    </w:rPr>
  </w:style>
  <w:style w:type="character" w:styleId="FollowedHyperlink">
    <w:name w:val="FollowedHyperlink"/>
    <w:basedOn w:val="DefaultParagraphFont"/>
    <w:rsid w:val="00F05943"/>
    <w:rPr>
      <w:color w:val="800080"/>
      <w:u w:val="single"/>
    </w:rPr>
  </w:style>
  <w:style w:type="paragraph" w:styleId="Footer">
    <w:name w:val="footer"/>
    <w:basedOn w:val="Normal"/>
    <w:next w:val="Normal"/>
    <w:link w:val="FooterChar"/>
    <w:uiPriority w:val="99"/>
    <w:rsid w:val="00F05943"/>
    <w:pPr>
      <w:spacing w:line="200" w:lineRule="exact"/>
    </w:pPr>
    <w:rPr>
      <w:sz w:val="15"/>
      <w:szCs w:val="20"/>
    </w:rPr>
  </w:style>
  <w:style w:type="paragraph" w:styleId="Header">
    <w:name w:val="header"/>
    <w:basedOn w:val="Normal"/>
    <w:rsid w:val="00F05943"/>
    <w:pPr>
      <w:tabs>
        <w:tab w:val="center" w:pos="4536"/>
        <w:tab w:val="right" w:pos="9072"/>
      </w:tabs>
      <w:spacing w:line="240" w:lineRule="exact"/>
    </w:pPr>
    <w:rPr>
      <w:sz w:val="16"/>
      <w:szCs w:val="20"/>
    </w:rPr>
  </w:style>
  <w:style w:type="character" w:styleId="Hyperlink">
    <w:name w:val="Hyperlink"/>
    <w:basedOn w:val="DefaultParagraphFont"/>
    <w:rsid w:val="00F05943"/>
    <w:rPr>
      <w:color w:val="0000FF"/>
      <w:u w:val="single"/>
    </w:rPr>
  </w:style>
  <w:style w:type="paragraph" w:styleId="ListBullet">
    <w:name w:val="List Bullet"/>
    <w:basedOn w:val="Normal"/>
    <w:autoRedefine/>
    <w:rsid w:val="00F05943"/>
    <w:pPr>
      <w:numPr>
        <w:numId w:val="3"/>
      </w:numPr>
      <w:tabs>
        <w:tab w:val="clear" w:pos="425"/>
      </w:tabs>
      <w:spacing w:line="280" w:lineRule="exact"/>
    </w:pPr>
    <w:rPr>
      <w:szCs w:val="20"/>
    </w:rPr>
  </w:style>
  <w:style w:type="paragraph" w:customStyle="1" w:styleId="ListPara">
    <w:name w:val="List Para"/>
    <w:basedOn w:val="Normal"/>
    <w:rsid w:val="00F05943"/>
    <w:pPr>
      <w:numPr>
        <w:numId w:val="4"/>
      </w:numPr>
      <w:tabs>
        <w:tab w:val="left" w:pos="851"/>
        <w:tab w:val="left" w:pos="1276"/>
      </w:tabs>
      <w:spacing w:line="280" w:lineRule="exact"/>
    </w:pPr>
    <w:rPr>
      <w:szCs w:val="20"/>
    </w:rPr>
  </w:style>
  <w:style w:type="paragraph" w:customStyle="1" w:styleId="MemoAddresseDetails">
    <w:name w:val="MemoAddresseDetails"/>
    <w:basedOn w:val="Normal"/>
    <w:rsid w:val="00F05943"/>
    <w:pPr>
      <w:spacing w:before="60" w:after="60" w:line="280" w:lineRule="exact"/>
    </w:pPr>
    <w:rPr>
      <w:szCs w:val="20"/>
    </w:rPr>
  </w:style>
  <w:style w:type="paragraph" w:customStyle="1" w:styleId="MemoAddresseePrompts">
    <w:name w:val="MemoAddresseePrompts"/>
    <w:basedOn w:val="Normal"/>
    <w:rsid w:val="00F05943"/>
    <w:pPr>
      <w:tabs>
        <w:tab w:val="left" w:pos="5670"/>
      </w:tabs>
      <w:spacing w:before="60" w:after="60" w:line="280" w:lineRule="exact"/>
    </w:pPr>
    <w:rPr>
      <w:b/>
      <w:szCs w:val="20"/>
    </w:rPr>
  </w:style>
  <w:style w:type="paragraph" w:customStyle="1" w:styleId="ParaBullet">
    <w:name w:val="Para Bullet"/>
    <w:basedOn w:val="Normal"/>
    <w:rsid w:val="00F05943"/>
    <w:pPr>
      <w:numPr>
        <w:numId w:val="5"/>
      </w:numPr>
      <w:tabs>
        <w:tab w:val="clear" w:pos="425"/>
      </w:tabs>
      <w:spacing w:before="60" w:after="220" w:line="280" w:lineRule="exact"/>
    </w:pPr>
    <w:rPr>
      <w:szCs w:val="20"/>
    </w:rPr>
  </w:style>
  <w:style w:type="paragraph" w:customStyle="1" w:styleId="ParaNumbered">
    <w:name w:val="Para Numbered"/>
    <w:basedOn w:val="ParaBullet"/>
    <w:rsid w:val="00F05943"/>
    <w:pPr>
      <w:numPr>
        <w:numId w:val="6"/>
      </w:numPr>
    </w:pPr>
  </w:style>
  <w:style w:type="paragraph" w:customStyle="1" w:styleId="Space">
    <w:name w:val="Space"/>
    <w:basedOn w:val="Normal"/>
    <w:rsid w:val="00F05943"/>
    <w:pPr>
      <w:spacing w:line="320" w:lineRule="atLeast"/>
    </w:pPr>
    <w:rPr>
      <w:szCs w:val="20"/>
    </w:rPr>
  </w:style>
  <w:style w:type="paragraph" w:customStyle="1" w:styleId="Subject">
    <w:name w:val="Subject"/>
    <w:basedOn w:val="Normal"/>
    <w:next w:val="PlainText"/>
    <w:rsid w:val="00F05943"/>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paragraph" w:customStyle="1" w:styleId="CHEADER2">
    <w:name w:val="C HEADER 2"/>
    <w:basedOn w:val="Normal"/>
    <w:qFormat/>
    <w:rsid w:val="001264FD"/>
    <w:pPr>
      <w:spacing w:line="360" w:lineRule="auto"/>
      <w:ind w:left="567" w:hanging="567"/>
    </w:pPr>
    <w:rPr>
      <w:rFonts w:asciiTheme="minorHAnsi" w:eastAsiaTheme="majorEastAsia" w:hAnsiTheme="minorHAnsi" w:cstheme="majorBidi"/>
      <w:caps/>
      <w:color w:val="007172"/>
      <w:sz w:val="32"/>
      <w:szCs w:val="32"/>
      <w:lang w:val="en-US" w:eastAsia="en-US"/>
    </w:rPr>
  </w:style>
  <w:style w:type="character" w:customStyle="1" w:styleId="FooterChar">
    <w:name w:val="Footer Char"/>
    <w:basedOn w:val="DefaultParagraphFont"/>
    <w:link w:val="Footer"/>
    <w:uiPriority w:val="99"/>
    <w:rsid w:val="001264FD"/>
    <w:rPr>
      <w:rFonts w:ascii="Arial" w:hAnsi="Arial"/>
      <w:sz w:val="15"/>
      <w:lang w:eastAsia="en-US"/>
    </w:rPr>
  </w:style>
  <w:style w:type="paragraph" w:styleId="ListParagraph">
    <w:name w:val="List Paragraph"/>
    <w:basedOn w:val="Normal"/>
    <w:uiPriority w:val="34"/>
    <w:qFormat/>
    <w:rsid w:val="001264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Keller</dc:creator>
  <cp:lastModifiedBy>Christine Whittaker</cp:lastModifiedBy>
  <cp:revision>2</cp:revision>
  <dcterms:created xsi:type="dcterms:W3CDTF">2017-05-01T06:40:00Z</dcterms:created>
  <dcterms:modified xsi:type="dcterms:W3CDTF">2017-05-01T06:40:00Z</dcterms:modified>
</cp:coreProperties>
</file>